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0F82"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4"/>
          <w:szCs w:val="24"/>
        </w:rPr>
        <w:t xml:space="preserve">IBMYP Subject Overview </w:t>
      </w:r>
    </w:p>
    <w:p w14:paraId="4A58203F" w14:textId="77777777" w:rsidR="006F0959" w:rsidRDefault="006F0959">
      <w:pPr>
        <w:spacing w:after="0" w:line="240" w:lineRule="auto"/>
        <w:jc w:val="center"/>
        <w:rPr>
          <w:b/>
          <w:color w:val="000000"/>
          <w:sz w:val="24"/>
          <w:szCs w:val="24"/>
        </w:rPr>
      </w:pPr>
    </w:p>
    <w:p w14:paraId="3AFC1A99" w14:textId="68DB910A" w:rsidR="00D90294" w:rsidRDefault="006F0959">
      <w:pPr>
        <w:spacing w:after="0" w:line="240" w:lineRule="auto"/>
        <w:jc w:val="center"/>
        <w:rPr>
          <w:rFonts w:ascii="Times New Roman" w:eastAsia="Times New Roman" w:hAnsi="Times New Roman" w:cs="Times New Roman"/>
          <w:sz w:val="24"/>
          <w:szCs w:val="24"/>
        </w:rPr>
      </w:pPr>
      <w:r>
        <w:rPr>
          <w:b/>
          <w:color w:val="000000"/>
          <w:sz w:val="24"/>
          <w:szCs w:val="24"/>
        </w:rPr>
        <w:t>Subject Area:  </w:t>
      </w:r>
      <w:r>
        <w:rPr>
          <w:b/>
          <w:color w:val="000000"/>
          <w:sz w:val="24"/>
          <w:szCs w:val="24"/>
          <w:u w:val="single"/>
        </w:rPr>
        <w:t xml:space="preserve">Music </w:t>
      </w:r>
      <w:r>
        <w:rPr>
          <w:b/>
          <w:color w:val="000000"/>
          <w:sz w:val="24"/>
          <w:szCs w:val="24"/>
        </w:rPr>
        <w:t xml:space="preserve">Course: </w:t>
      </w:r>
      <w:r>
        <w:rPr>
          <w:b/>
          <w:color w:val="000000"/>
          <w:sz w:val="24"/>
          <w:szCs w:val="24"/>
          <w:u w:val="single"/>
        </w:rPr>
        <w:t>Band/Chorus/</w:t>
      </w:r>
      <w:proofErr w:type="gramStart"/>
      <w:r>
        <w:rPr>
          <w:b/>
          <w:color w:val="000000"/>
          <w:sz w:val="24"/>
          <w:szCs w:val="24"/>
          <w:u w:val="single"/>
        </w:rPr>
        <w:t>Strings  </w:t>
      </w:r>
      <w:r>
        <w:rPr>
          <w:b/>
          <w:color w:val="000000"/>
          <w:sz w:val="24"/>
          <w:szCs w:val="24"/>
        </w:rPr>
        <w:t>MYP</w:t>
      </w:r>
      <w:proofErr w:type="gramEnd"/>
      <w:r>
        <w:rPr>
          <w:b/>
          <w:color w:val="000000"/>
          <w:sz w:val="24"/>
          <w:szCs w:val="24"/>
        </w:rPr>
        <w:t xml:space="preserve"> Level:</w:t>
      </w:r>
      <w:r>
        <w:rPr>
          <w:b/>
          <w:color w:val="000000"/>
          <w:sz w:val="24"/>
          <w:szCs w:val="24"/>
          <w:u w:val="single"/>
        </w:rPr>
        <w:t xml:space="preserve"> 2 </w:t>
      </w:r>
      <w:r>
        <w:rPr>
          <w:b/>
          <w:color w:val="000000"/>
          <w:sz w:val="24"/>
          <w:szCs w:val="24"/>
        </w:rPr>
        <w:t>Teacher(s)</w:t>
      </w:r>
      <w:r>
        <w:rPr>
          <w:color w:val="000000"/>
          <w:sz w:val="24"/>
          <w:szCs w:val="24"/>
        </w:rPr>
        <w:t xml:space="preserve">: </w:t>
      </w:r>
      <w:r>
        <w:rPr>
          <w:b/>
          <w:color w:val="000000"/>
          <w:sz w:val="24"/>
          <w:szCs w:val="24"/>
          <w:u w:val="single"/>
        </w:rPr>
        <w:t>Cook, Goin, Jackson</w:t>
      </w:r>
    </w:p>
    <w:p w14:paraId="74952BB5" w14:textId="77777777" w:rsidR="00D90294" w:rsidRDefault="00D90294">
      <w:pPr>
        <w:spacing w:after="0" w:line="240" w:lineRule="auto"/>
        <w:rPr>
          <w:rFonts w:ascii="Times New Roman" w:eastAsia="Times New Roman" w:hAnsi="Times New Roman" w:cs="Times New Roman"/>
          <w:sz w:val="24"/>
          <w:szCs w:val="24"/>
        </w:rPr>
      </w:pPr>
    </w:p>
    <w:tbl>
      <w:tblPr>
        <w:tblStyle w:val="a"/>
        <w:tblW w:w="13668" w:type="dxa"/>
        <w:tblLayout w:type="fixed"/>
        <w:tblLook w:val="0400" w:firstRow="0" w:lastRow="0" w:firstColumn="0" w:lastColumn="0" w:noHBand="0" w:noVBand="1"/>
      </w:tblPr>
      <w:tblGrid>
        <w:gridCol w:w="557"/>
        <w:gridCol w:w="5197"/>
        <w:gridCol w:w="1015"/>
        <w:gridCol w:w="803"/>
        <w:gridCol w:w="952"/>
        <w:gridCol w:w="866"/>
        <w:gridCol w:w="844"/>
        <w:gridCol w:w="952"/>
        <w:gridCol w:w="981"/>
        <w:gridCol w:w="568"/>
        <w:gridCol w:w="933"/>
      </w:tblGrid>
      <w:tr w:rsidR="00D90294" w14:paraId="27DEA619" w14:textId="77777777">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AAD93" w14:textId="77777777" w:rsidR="00D90294" w:rsidRDefault="006F0959">
            <w:pPr>
              <w:spacing w:after="0" w:line="240" w:lineRule="auto"/>
              <w:jc w:val="center"/>
              <w:rPr>
                <w:rFonts w:ascii="Times New Roman" w:eastAsia="Times New Roman" w:hAnsi="Times New Roman" w:cs="Times New Roman"/>
                <w:b/>
                <w:sz w:val="48"/>
                <w:szCs w:val="48"/>
              </w:rPr>
            </w:pPr>
            <w:r>
              <w:rPr>
                <w:b/>
                <w:color w:val="000000"/>
                <w:sz w:val="20"/>
                <w:szCs w:val="20"/>
              </w:rPr>
              <w:t>Time</w:t>
            </w:r>
          </w:p>
          <w:p w14:paraId="29A1ACC2"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Frame</w:t>
            </w:r>
          </w:p>
          <w:p w14:paraId="3A6D4579"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(Dates)</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0F193D" w14:textId="77777777" w:rsidR="00D90294" w:rsidRDefault="006F0959">
            <w:pPr>
              <w:spacing w:after="0" w:line="240" w:lineRule="auto"/>
              <w:jc w:val="center"/>
              <w:rPr>
                <w:rFonts w:ascii="Times New Roman" w:eastAsia="Times New Roman" w:hAnsi="Times New Roman" w:cs="Times New Roman"/>
                <w:b/>
                <w:sz w:val="48"/>
                <w:szCs w:val="48"/>
              </w:rPr>
            </w:pPr>
            <w:r>
              <w:rPr>
                <w:b/>
                <w:color w:val="000000"/>
                <w:sz w:val="20"/>
                <w:szCs w:val="20"/>
              </w:rPr>
              <w:t xml:space="preserve">Unit Title and Topic </w:t>
            </w:r>
          </w:p>
          <w:p w14:paraId="1747EA51" w14:textId="77777777" w:rsidR="00D90294" w:rsidRDefault="00D90294">
            <w:pPr>
              <w:spacing w:after="0" w:line="240" w:lineRule="auto"/>
              <w:rPr>
                <w:rFonts w:ascii="Times New Roman" w:eastAsia="Times New Roman" w:hAnsi="Times New Roman" w:cs="Times New Roman"/>
                <w:sz w:val="24"/>
                <w:szCs w:val="24"/>
              </w:rPr>
            </w:pPr>
          </w:p>
          <w:p w14:paraId="3CF4DEE5" w14:textId="77777777" w:rsidR="00D90294" w:rsidRDefault="006F0959">
            <w:pPr>
              <w:spacing w:after="0" w:line="240" w:lineRule="auto"/>
              <w:rPr>
                <w:rFonts w:ascii="Times New Roman" w:eastAsia="Times New Roman" w:hAnsi="Times New Roman" w:cs="Times New Roman"/>
                <w:b/>
                <w:sz w:val="48"/>
                <w:szCs w:val="48"/>
              </w:rPr>
            </w:pPr>
            <w:r>
              <w:rPr>
                <w:b/>
                <w:color w:val="000000"/>
                <w:sz w:val="20"/>
                <w:szCs w:val="20"/>
              </w:rPr>
              <w:t>Add an * for interdisciplinary connection</w:t>
            </w:r>
          </w:p>
          <w:p w14:paraId="1917DD3F" w14:textId="77777777" w:rsidR="00D90294" w:rsidRDefault="00D90294">
            <w:pPr>
              <w:spacing w:after="0" w:line="240" w:lineRule="auto"/>
              <w:rPr>
                <w:rFonts w:ascii="Times New Roman" w:eastAsia="Times New Roman" w:hAnsi="Times New Roman" w:cs="Times New Roman"/>
                <w:sz w:val="24"/>
                <w:szCs w:val="24"/>
              </w:rPr>
            </w:pPr>
          </w:p>
          <w:p w14:paraId="438F7C80" w14:textId="77777777" w:rsidR="00D90294" w:rsidRDefault="006F0959">
            <w:pPr>
              <w:spacing w:after="0" w:line="240" w:lineRule="auto"/>
              <w:rPr>
                <w:rFonts w:ascii="Times New Roman" w:eastAsia="Times New Roman" w:hAnsi="Times New Roman" w:cs="Times New Roman"/>
                <w:b/>
                <w:sz w:val="48"/>
                <w:szCs w:val="48"/>
              </w:rPr>
            </w:pPr>
            <w:r>
              <w:rPr>
                <w:b/>
                <w:color w:val="000000"/>
                <w:sz w:val="20"/>
                <w:szCs w:val="20"/>
              </w:rPr>
              <w:t>Add an @ for Service as Action)</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80055"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MYP Objective(s)</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1A1CF" w14:textId="77777777" w:rsidR="00D90294" w:rsidRDefault="006F0959">
            <w:pPr>
              <w:spacing w:after="0" w:line="240" w:lineRule="auto"/>
              <w:jc w:val="center"/>
              <w:rPr>
                <w:rFonts w:ascii="Times New Roman" w:eastAsia="Times New Roman" w:hAnsi="Times New Roman" w:cs="Times New Roman"/>
                <w:b/>
                <w:sz w:val="48"/>
                <w:szCs w:val="48"/>
              </w:rPr>
            </w:pPr>
            <w:r>
              <w:rPr>
                <w:b/>
                <w:color w:val="000000"/>
                <w:sz w:val="20"/>
                <w:szCs w:val="20"/>
              </w:rPr>
              <w:t>SOL(s)</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94F73"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Key Concept</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9D308"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Related Concepts</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1B518"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Global Context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D35BB"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Statement of Inquiry</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322DE"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MYP Assessment Task</w:t>
            </w:r>
          </w:p>
          <w:p w14:paraId="398D99FB"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&amp;</w:t>
            </w:r>
          </w:p>
          <w:p w14:paraId="08590B6D"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ATL Focus</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814E3"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MYP Criteria</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61C76" w14:textId="77777777" w:rsidR="00D90294" w:rsidRDefault="006F0959">
            <w:pPr>
              <w:spacing w:after="0" w:line="240" w:lineRule="auto"/>
              <w:jc w:val="center"/>
              <w:rPr>
                <w:rFonts w:ascii="Times New Roman" w:eastAsia="Times New Roman" w:hAnsi="Times New Roman" w:cs="Times New Roman"/>
                <w:sz w:val="24"/>
                <w:szCs w:val="24"/>
              </w:rPr>
            </w:pPr>
            <w:r>
              <w:rPr>
                <w:b/>
                <w:color w:val="000000"/>
                <w:sz w:val="20"/>
                <w:szCs w:val="20"/>
              </w:rPr>
              <w:t>Learner Profile Focus</w:t>
            </w:r>
          </w:p>
        </w:tc>
      </w:tr>
      <w:tr w:rsidR="00D90294" w14:paraId="3D716987"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6CEA5"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2674E" w14:textId="77777777" w:rsidR="00D90294" w:rsidRDefault="006F09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Stop! Hey!  What’s that sound?</w:t>
            </w:r>
          </w:p>
          <w:p w14:paraId="04C2139A" w14:textId="77777777" w:rsidR="00D90294" w:rsidRDefault="006F0959">
            <w:pPr>
              <w:spacing w:after="0" w:line="240" w:lineRule="auto"/>
              <w:jc w:val="center"/>
              <w:rPr>
                <w:rFonts w:ascii="Times New Roman" w:eastAsia="Times New Roman" w:hAnsi="Times New Roman" w:cs="Times New Roman"/>
                <w:sz w:val="24"/>
                <w:szCs w:val="24"/>
              </w:rPr>
            </w:pPr>
            <w:hyperlink r:id="rId4">
              <w:r>
                <w:rPr>
                  <w:color w:val="0000FF"/>
                  <w:u w:val="single"/>
                </w:rPr>
                <w:t>https://docs.google.com/document/d/1d4NgZ8aJdr30pMsrUVevSvXgaqBsig04p08tvyyHfxw/edit?usp=sharing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69C97" w14:textId="77777777" w:rsidR="00D90294" w:rsidRDefault="006F095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A:i</w:t>
            </w:r>
            <w:proofErr w:type="gramEnd"/>
            <w:r>
              <w:rPr>
                <w:rFonts w:ascii="Times New Roman" w:eastAsia="Times New Roman" w:hAnsi="Times New Roman" w:cs="Times New Roman"/>
                <w:color w:val="000000"/>
                <w:sz w:val="20"/>
                <w:szCs w:val="20"/>
              </w:rPr>
              <w:t>, ii, iii; C:i,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215AF"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 2, 8, 9</w:t>
            </w:r>
          </w:p>
          <w:p w14:paraId="4EE6C9B1"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w:t>
            </w:r>
            <w:r>
              <w:rPr>
                <w:rFonts w:ascii="Times New Roman" w:eastAsia="Times New Roman" w:hAnsi="Times New Roman" w:cs="Times New Roman"/>
                <w:color w:val="000000"/>
                <w:sz w:val="20"/>
                <w:szCs w:val="20"/>
              </w:rPr>
              <w:t xml:space="preserve">9, 10, 15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47388"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Identity</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0CEEC"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Role, Structure</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EF525"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Identities and Relationships</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F7C3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Exploring relationships can determine the identity of the role and structure of sound.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DE3F0"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596E3571"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Communication, Thinking</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52649"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 &amp; C</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AB07D"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Knowledgeable</w:t>
            </w:r>
          </w:p>
        </w:tc>
      </w:tr>
      <w:tr w:rsidR="00D90294" w14:paraId="5EA9039E"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A29C6"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16094" w14:textId="77777777" w:rsidR="00D90294" w:rsidRDefault="006F09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Express Yourself</w:t>
            </w:r>
          </w:p>
          <w:p w14:paraId="48F2EAD4" w14:textId="77777777" w:rsidR="00D90294" w:rsidRDefault="006F0959">
            <w:pPr>
              <w:spacing w:after="0" w:line="240" w:lineRule="auto"/>
              <w:jc w:val="center"/>
              <w:rPr>
                <w:rFonts w:ascii="Times New Roman" w:eastAsia="Times New Roman" w:hAnsi="Times New Roman" w:cs="Times New Roman"/>
                <w:sz w:val="24"/>
                <w:szCs w:val="24"/>
              </w:rPr>
            </w:pPr>
            <w:hyperlink r:id="rId5">
              <w:r>
                <w:rPr>
                  <w:color w:val="0000FF"/>
                  <w:u w:val="single"/>
                </w:rPr>
                <w:t>https://docs.google.com/document/d/1IaM7WsyNLjPidIjijhK5HxhjfoPJ9doaQxn2TFbJOwk/edit?usp=sharing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27916C"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 i, </w:t>
            </w:r>
            <w:proofErr w:type="gramStart"/>
            <w:r>
              <w:rPr>
                <w:rFonts w:ascii="Times New Roman" w:eastAsia="Times New Roman" w:hAnsi="Times New Roman" w:cs="Times New Roman"/>
                <w:color w:val="000000"/>
                <w:sz w:val="20"/>
                <w:szCs w:val="20"/>
              </w:rPr>
              <w:t>ii;</w:t>
            </w:r>
            <w:proofErr w:type="gramEnd"/>
          </w:p>
          <w:p w14:paraId="4B029DDF"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D: 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F5259"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MCB.1,4,6</w:t>
            </w:r>
          </w:p>
          <w:p w14:paraId="4FB6EE1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MIB.1,2,6,7, 17, 21</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9707A"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Aesthetics</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CDD07"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Audience, Presentation, Expression</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80DD1"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Personal and Cultural Expression</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6CE37"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Cultural expression can lead an audience to greater appreciation of aesthetic values.</w:t>
            </w:r>
            <w:r>
              <w:rPr>
                <w:rFonts w:ascii="Times New Roman" w:eastAsia="Times New Roman" w:hAnsi="Times New Roman" w:cs="Times New Roman"/>
                <w:color w:val="000000"/>
                <w:sz w:val="20"/>
                <w:szCs w:val="20"/>
                <w:u w:val="single"/>
              </w:rPr>
              <w:t xml:space="preserve"> </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1CBCE"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40C45DAD"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Social Skills, </w:t>
            </w:r>
            <w:proofErr w:type="spellStart"/>
            <w:r>
              <w:rPr>
                <w:rFonts w:ascii="Times New Roman" w:eastAsia="Times New Roman" w:hAnsi="Times New Roman" w:cs="Times New Roman"/>
                <w:color w:val="000000"/>
                <w:sz w:val="20"/>
                <w:szCs w:val="20"/>
              </w:rPr>
              <w:t>Self--Manag</w:t>
            </w:r>
            <w:r>
              <w:rPr>
                <w:rFonts w:ascii="Times New Roman" w:eastAsia="Times New Roman" w:hAnsi="Times New Roman" w:cs="Times New Roman"/>
                <w:color w:val="000000"/>
                <w:sz w:val="20"/>
                <w:szCs w:val="20"/>
              </w:rPr>
              <w:t>ement</w:t>
            </w:r>
            <w:proofErr w:type="spellEnd"/>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A8665"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 &amp; D</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2B4A5"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Risk-Takers</w:t>
            </w:r>
          </w:p>
        </w:tc>
      </w:tr>
      <w:tr w:rsidR="00D90294" w14:paraId="062091FF"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CB0F9"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Q3</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DFB80" w14:textId="77777777" w:rsidR="00D90294" w:rsidRDefault="006F09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Take the </w:t>
            </w:r>
            <w:r>
              <w:rPr>
                <w:rFonts w:ascii="Times New Roman" w:eastAsia="Times New Roman" w:hAnsi="Times New Roman" w:cs="Times New Roman"/>
                <w:color w:val="000000"/>
                <w:sz w:val="20"/>
                <w:szCs w:val="20"/>
                <w:u w:val="single"/>
              </w:rPr>
              <w:t>E(</w:t>
            </w:r>
            <w:r>
              <w:rPr>
                <w:rFonts w:ascii="Times New Roman" w:eastAsia="Times New Roman" w:hAnsi="Times New Roman" w:cs="Times New Roman"/>
                <w:color w:val="000000"/>
                <w:sz w:val="20"/>
                <w:szCs w:val="20"/>
              </w:rPr>
              <w:t>valuate) Train</w:t>
            </w:r>
          </w:p>
          <w:p w14:paraId="42463C6F" w14:textId="77777777" w:rsidR="00D90294" w:rsidRDefault="006F0959">
            <w:pPr>
              <w:spacing w:after="0" w:line="240" w:lineRule="auto"/>
              <w:jc w:val="center"/>
              <w:rPr>
                <w:rFonts w:ascii="Times New Roman" w:eastAsia="Times New Roman" w:hAnsi="Times New Roman" w:cs="Times New Roman"/>
                <w:sz w:val="24"/>
                <w:szCs w:val="24"/>
              </w:rPr>
            </w:pPr>
            <w:hyperlink r:id="rId6">
              <w:r>
                <w:rPr>
                  <w:color w:val="0000FF"/>
                  <w:u w:val="single"/>
                </w:rPr>
                <w:t>https://docs.google.com/document/d/1d3a_7-k37mVYa1RdsQM9GPDQDJtp7EqOfk5j3y8ckZI/edit?usp=sharing</w:t>
              </w:r>
            </w:hyperlink>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94D7C"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 i, </w:t>
            </w:r>
            <w:proofErr w:type="gramStart"/>
            <w:r>
              <w:rPr>
                <w:rFonts w:ascii="Times New Roman" w:eastAsia="Times New Roman" w:hAnsi="Times New Roman" w:cs="Times New Roman"/>
                <w:color w:val="000000"/>
                <w:sz w:val="20"/>
                <w:szCs w:val="20"/>
              </w:rPr>
              <w:t>ii;</w:t>
            </w:r>
            <w:proofErr w:type="gramEnd"/>
          </w:p>
          <w:p w14:paraId="7D6E5BBE"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 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29617"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MCB.  6, 8, 9 </w:t>
            </w:r>
          </w:p>
          <w:p w14:paraId="7D04B2D0"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MIB.3</w:t>
            </w:r>
            <w:r>
              <w:rPr>
                <w:rFonts w:ascii="Times New Roman" w:eastAsia="Times New Roman" w:hAnsi="Times New Roman" w:cs="Times New Roman"/>
                <w:color w:val="000000"/>
                <w:sz w:val="20"/>
                <w:szCs w:val="20"/>
              </w:rPr>
              <w:t>,4, 12, 14, 18, 20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CDA30"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Communication</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B2A64"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Interpretation, Narrative </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63F0D"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Fairness &amp; Development</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DD852"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Communication can interpret a narrative about fairness and </w:t>
            </w:r>
            <w:r>
              <w:rPr>
                <w:rFonts w:ascii="Times New Roman" w:eastAsia="Times New Roman" w:hAnsi="Times New Roman" w:cs="Times New Roman"/>
                <w:color w:val="000000"/>
                <w:sz w:val="20"/>
                <w:szCs w:val="20"/>
              </w:rPr>
              <w:lastRenderedPageBreak/>
              <w:t>development.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0B2B6"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In Class Performance &amp; Reflection</w:t>
            </w:r>
          </w:p>
          <w:p w14:paraId="12149968"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Thinking, Self-Management, </w:t>
            </w:r>
            <w:r>
              <w:rPr>
                <w:rFonts w:ascii="Times New Roman" w:eastAsia="Times New Roman" w:hAnsi="Times New Roman" w:cs="Times New Roman"/>
                <w:color w:val="000000"/>
                <w:sz w:val="20"/>
                <w:szCs w:val="20"/>
              </w:rPr>
              <w:lastRenderedPageBreak/>
              <w:t>Communication</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DE17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B &amp; D</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FF617"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Reflective</w:t>
            </w:r>
          </w:p>
        </w:tc>
      </w:tr>
      <w:tr w:rsidR="00D90294" w14:paraId="1906A73D" w14:textId="77777777">
        <w:trPr>
          <w:trHeight w:val="460"/>
        </w:trPr>
        <w:tc>
          <w:tcPr>
            <w:tcW w:w="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8D9B9C"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Q4</w:t>
            </w:r>
          </w:p>
          <w:p w14:paraId="15977D73" w14:textId="77777777" w:rsidR="00D90294" w:rsidRDefault="00D90294">
            <w:pPr>
              <w:spacing w:after="0" w:line="240" w:lineRule="auto"/>
              <w:rPr>
                <w:rFonts w:ascii="Times New Roman" w:eastAsia="Times New Roman" w:hAnsi="Times New Roman" w:cs="Times New Roman"/>
                <w:sz w:val="24"/>
                <w:szCs w:val="24"/>
              </w:rPr>
            </w:pP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46D15" w14:textId="77777777" w:rsidR="00D90294" w:rsidRDefault="006F09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Leap Frog Over </w:t>
            </w:r>
            <w:proofErr w:type="gramStart"/>
            <w:r>
              <w:rPr>
                <w:rFonts w:ascii="Times New Roman" w:eastAsia="Times New Roman" w:hAnsi="Times New Roman" w:cs="Times New Roman"/>
                <w:color w:val="000000"/>
                <w:sz w:val="20"/>
                <w:szCs w:val="20"/>
              </w:rPr>
              <w:t>to  Music</w:t>
            </w:r>
            <w:proofErr w:type="gramEnd"/>
            <w:r>
              <w:rPr>
                <w:rFonts w:ascii="Times New Roman" w:eastAsia="Times New Roman" w:hAnsi="Times New Roman" w:cs="Times New Roman"/>
                <w:color w:val="000000"/>
                <w:sz w:val="20"/>
                <w:szCs w:val="20"/>
              </w:rPr>
              <w:t xml:space="preserve"> and More</w:t>
            </w:r>
          </w:p>
          <w:bookmarkStart w:id="0" w:name="_gjdgxs" w:colFirst="0" w:colLast="0"/>
          <w:bookmarkEnd w:id="0"/>
          <w:p w14:paraId="77C9A354" w14:textId="77777777" w:rsidR="00D90294" w:rsidRDefault="006F0959">
            <w:pPr>
              <w:spacing w:after="0" w:line="240" w:lineRule="auto"/>
              <w:jc w:val="center"/>
              <w:rPr>
                <w:rFonts w:ascii="Times New Roman" w:eastAsia="Times New Roman" w:hAnsi="Times New Roman" w:cs="Times New Roman"/>
                <w:sz w:val="24"/>
                <w:szCs w:val="24"/>
              </w:rPr>
            </w:pPr>
            <w:r>
              <w:fldChar w:fldCharType="begin"/>
            </w:r>
            <w:r>
              <w:instrText xml:space="preserve"> HYPERLINK "https://docs.google.com/document/d/1NWUft7zOT1Y5LeN9VUbXXh2zBC4tAAwBLPlzWR3whak/edit?usp=sharing" \h </w:instrText>
            </w:r>
            <w:r>
              <w:fldChar w:fldCharType="separate"/>
            </w:r>
            <w:r>
              <w:rPr>
                <w:color w:val="0000FF"/>
                <w:u w:val="single"/>
              </w:rPr>
              <w:t>https://docs.google.com/document/d/1NWUft7zOT1Y5LeN9VUbXXh2zBC4tAAwBLPlzWR3whak/edit?usp=sharing</w:t>
            </w:r>
            <w:r>
              <w:rPr>
                <w:color w:val="0000FF"/>
                <w:u w:val="single"/>
              </w:rPr>
              <w:fldChar w:fldCharType="end"/>
            </w:r>
            <w:r>
              <w:t xml:space="preserve"> </w:t>
            </w:r>
          </w:p>
        </w:tc>
        <w:tc>
          <w:tcPr>
            <w:tcW w:w="1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BD284" w14:textId="77777777" w:rsidR="00D90294" w:rsidRDefault="006F095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0"/>
                <w:szCs w:val="20"/>
              </w:rPr>
              <w:t>A:i</w:t>
            </w:r>
            <w:proofErr w:type="gramEnd"/>
            <w:r>
              <w:rPr>
                <w:rFonts w:ascii="Times New Roman" w:eastAsia="Times New Roman" w:hAnsi="Times New Roman" w:cs="Times New Roman"/>
                <w:color w:val="000000"/>
                <w:sz w:val="20"/>
                <w:szCs w:val="20"/>
              </w:rPr>
              <w:t>, ii,</w:t>
            </w:r>
            <w:r>
              <w:rPr>
                <w:rFonts w:ascii="Times New Roman" w:eastAsia="Times New Roman" w:hAnsi="Times New Roman" w:cs="Times New Roman"/>
                <w:color w:val="000000"/>
                <w:sz w:val="20"/>
                <w:szCs w:val="20"/>
              </w:rPr>
              <w:t xml:space="preserve"> iii; C:i, ii, iii</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7D550"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MCB. 5,7,</w:t>
            </w:r>
          </w:p>
          <w:p w14:paraId="555F4337"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MIB.5,8, 11, 13, 16, 19 </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27710"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Change</w:t>
            </w: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E71BC"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Innovation, Boundaries</w:t>
            </w: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E19B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Globalization &amp; Sustainability</w:t>
            </w:r>
          </w:p>
        </w:tc>
        <w:tc>
          <w:tcPr>
            <w:tcW w:w="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DEC15"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Change can lead to the breaking of boundaries and the formation of </w:t>
            </w:r>
            <w:proofErr w:type="gramStart"/>
            <w:r>
              <w:rPr>
                <w:rFonts w:ascii="Times New Roman" w:eastAsia="Times New Roman" w:hAnsi="Times New Roman" w:cs="Times New Roman"/>
                <w:color w:val="000000"/>
                <w:sz w:val="20"/>
                <w:szCs w:val="20"/>
              </w:rPr>
              <w:t>new innovation</w:t>
            </w:r>
            <w:proofErr w:type="gramEnd"/>
            <w:r>
              <w:rPr>
                <w:rFonts w:ascii="Times New Roman" w:eastAsia="Times New Roman" w:hAnsi="Times New Roman" w:cs="Times New Roman"/>
                <w:color w:val="000000"/>
                <w:sz w:val="20"/>
                <w:szCs w:val="20"/>
              </w:rPr>
              <w:t xml:space="preserve">. </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6B09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In Class Performance &amp; Reflection</w:t>
            </w:r>
          </w:p>
          <w:p w14:paraId="0611EF06"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Research, Communication, Social</w:t>
            </w:r>
          </w:p>
        </w:t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B5BF1"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 &amp; C</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3378B" w14:textId="77777777" w:rsidR="00D90294" w:rsidRDefault="006F09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Open-Minded</w:t>
            </w:r>
          </w:p>
        </w:tc>
      </w:tr>
    </w:tbl>
    <w:p w14:paraId="2F4A9D89" w14:textId="77777777" w:rsidR="00D90294" w:rsidRDefault="006F09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color w:val="000000"/>
        </w:rPr>
        <w:t>IB music students learn many skills that help prepare them for their personal project in high school.  Students learn to work independently through diligent practice outside of class.  Reflection is a key concept in the music classroom.  Students reflect i</w:t>
      </w:r>
      <w:r>
        <w:rPr>
          <w:b/>
          <w:color w:val="000000"/>
        </w:rPr>
        <w:t>nformally during class as well as formally after concerts and performances.  Participation in music classes builds self-confidence because students must perform alone and with others.  Music students learn to be organized because they must manage their ind</w:t>
      </w:r>
      <w:r>
        <w:rPr>
          <w:b/>
          <w:color w:val="000000"/>
        </w:rPr>
        <w:t>ividual practice, performances, and rehearsals, while maintaining their grades and completing their assignments for other classes.  Music students also learn research skills through studies of composers and music history.  IB music is a course that encompa</w:t>
      </w:r>
      <w:r>
        <w:rPr>
          <w:b/>
          <w:color w:val="000000"/>
        </w:rPr>
        <w:t xml:space="preserve">sses many skills that students will use for the rest of their lives.       </w:t>
      </w:r>
    </w:p>
    <w:p w14:paraId="5C8A6A75" w14:textId="77777777" w:rsidR="00D90294" w:rsidRDefault="00D90294">
      <w:pPr>
        <w:spacing w:after="240" w:line="240" w:lineRule="auto"/>
        <w:rPr>
          <w:rFonts w:ascii="Times New Roman" w:eastAsia="Times New Roman" w:hAnsi="Times New Roman" w:cs="Times New Roman"/>
          <w:sz w:val="24"/>
          <w:szCs w:val="24"/>
        </w:rPr>
      </w:pPr>
    </w:p>
    <w:p w14:paraId="4522F49A" w14:textId="77777777" w:rsidR="00D90294" w:rsidRDefault="00D90294"/>
    <w:sectPr w:rsidR="00D90294">
      <w:pgSz w:w="15840" w:h="12240" w:orient="landscape"/>
      <w:pgMar w:top="720" w:right="72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94"/>
    <w:rsid w:val="006F0959"/>
    <w:rsid w:val="00D9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3D"/>
  <w15:docId w15:val="{93FE6738-2A2D-4E76-9A06-4D50E95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d3a_7-k37mVYa1RdsQM9GPDQDJtp7EqOfk5j3y8ckZI/edit?usp=sharing" TargetMode="External"/><Relationship Id="rId5" Type="http://schemas.openxmlformats.org/officeDocument/2006/relationships/hyperlink" Target="https://docs.google.com/document/d/1IaM7WsyNLjPidIjijhK5HxhjfoPJ9doaQxn2TFbJOwk/edit?usp=sharing" TargetMode="External"/><Relationship Id="rId4" Type="http://schemas.openxmlformats.org/officeDocument/2006/relationships/hyperlink" Target="https://docs.google.com/document/d/1d4NgZ8aJdr30pMsrUVevSvXgaqBsig04p08tvyyHfx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2021-09-16T17:12:00Z</dcterms:created>
  <dcterms:modified xsi:type="dcterms:W3CDTF">2021-09-16T17:12:00Z</dcterms:modified>
</cp:coreProperties>
</file>