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FAC171" w14:textId="77777777" w:rsidR="00F3106C" w:rsidRDefault="008B100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IBMYP Subject Overview </w:t>
      </w:r>
    </w:p>
    <w:p w14:paraId="52DBFDFA" w14:textId="77777777" w:rsidR="00F3106C" w:rsidRDefault="008B1000">
      <w:pPr>
        <w:spacing w:line="24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>Subject Area:</w:t>
      </w:r>
      <w:r>
        <w:rPr>
          <w:sz w:val="20"/>
          <w:szCs w:val="20"/>
        </w:rPr>
        <w:t xml:space="preserve"> Drama                   </w:t>
      </w:r>
      <w:r>
        <w:rPr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>Course: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Exploratory Drama</w:t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MYP Level: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Teacher(s):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Phipps                    </w:t>
      </w:r>
    </w:p>
    <w:p w14:paraId="5CAB5408" w14:textId="77777777" w:rsidR="00F3106C" w:rsidRDefault="00F3106C">
      <w:pPr>
        <w:spacing w:line="240" w:lineRule="auto"/>
        <w:jc w:val="center"/>
        <w:rPr>
          <w:sz w:val="20"/>
          <w:szCs w:val="20"/>
          <w:u w:val="single"/>
        </w:rPr>
      </w:pPr>
    </w:p>
    <w:tbl>
      <w:tblPr>
        <w:tblStyle w:val="a"/>
        <w:tblW w:w="15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725"/>
        <w:gridCol w:w="1620"/>
        <w:gridCol w:w="1215"/>
        <w:gridCol w:w="1260"/>
        <w:gridCol w:w="1245"/>
        <w:gridCol w:w="1335"/>
        <w:gridCol w:w="1815"/>
        <w:gridCol w:w="1605"/>
        <w:gridCol w:w="1350"/>
        <w:gridCol w:w="1080"/>
      </w:tblGrid>
      <w:tr w:rsidR="00F3106C" w14:paraId="1AB8377D" w14:textId="77777777">
        <w:tc>
          <w:tcPr>
            <w:tcW w:w="825" w:type="dxa"/>
            <w:vAlign w:val="center"/>
          </w:tcPr>
          <w:p w14:paraId="33C3AC8B" w14:textId="77777777" w:rsidR="00F3106C" w:rsidRDefault="008B1000">
            <w:pPr>
              <w:pStyle w:val="Heading1"/>
              <w:keepLines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</w:t>
            </w:r>
          </w:p>
          <w:p w14:paraId="74BF3113" w14:textId="77777777" w:rsidR="00F3106C" w:rsidRDefault="008B100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Frame</w:t>
            </w:r>
          </w:p>
          <w:p w14:paraId="65CAAB46" w14:textId="77777777" w:rsidR="00F3106C" w:rsidRDefault="008B100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(Dates)</w:t>
            </w:r>
          </w:p>
        </w:tc>
        <w:tc>
          <w:tcPr>
            <w:tcW w:w="1725" w:type="dxa"/>
            <w:vAlign w:val="center"/>
          </w:tcPr>
          <w:p w14:paraId="2B19828F" w14:textId="77777777" w:rsidR="00F3106C" w:rsidRDefault="008B1000">
            <w:pPr>
              <w:pStyle w:val="Heading1"/>
              <w:keepLines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Unit Title and Topic </w:t>
            </w:r>
          </w:p>
          <w:p w14:paraId="0CB27188" w14:textId="77777777" w:rsidR="00F3106C" w:rsidRDefault="00F3106C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34BA301F" w14:textId="77777777" w:rsidR="00F3106C" w:rsidRDefault="008B1000">
            <w:pPr>
              <w:pStyle w:val="Heading1"/>
              <w:keepLines w:val="0"/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 an * for interdisciplinary connection- Add an @ for Service as Action)</w:t>
            </w:r>
          </w:p>
        </w:tc>
        <w:tc>
          <w:tcPr>
            <w:tcW w:w="1620" w:type="dxa"/>
            <w:vAlign w:val="center"/>
          </w:tcPr>
          <w:p w14:paraId="65D4D433" w14:textId="77777777" w:rsidR="00F3106C" w:rsidRDefault="008B100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MYP Objective(s)</w:t>
            </w:r>
          </w:p>
        </w:tc>
        <w:tc>
          <w:tcPr>
            <w:tcW w:w="1215" w:type="dxa"/>
            <w:vAlign w:val="center"/>
          </w:tcPr>
          <w:p w14:paraId="30DD988C" w14:textId="77777777" w:rsidR="00F3106C" w:rsidRDefault="008B1000">
            <w:pPr>
              <w:pStyle w:val="Heading1"/>
              <w:keepLines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SOL(s)</w:t>
            </w:r>
          </w:p>
        </w:tc>
        <w:tc>
          <w:tcPr>
            <w:tcW w:w="1260" w:type="dxa"/>
            <w:vAlign w:val="center"/>
          </w:tcPr>
          <w:p w14:paraId="4031FB8A" w14:textId="77777777" w:rsidR="00F3106C" w:rsidRDefault="008B100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Key Concept</w:t>
            </w:r>
          </w:p>
        </w:tc>
        <w:tc>
          <w:tcPr>
            <w:tcW w:w="1245" w:type="dxa"/>
            <w:vAlign w:val="center"/>
          </w:tcPr>
          <w:p w14:paraId="588BBE50" w14:textId="77777777" w:rsidR="00F3106C" w:rsidRDefault="008B100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Related Concepts</w:t>
            </w:r>
          </w:p>
        </w:tc>
        <w:tc>
          <w:tcPr>
            <w:tcW w:w="1335" w:type="dxa"/>
            <w:vAlign w:val="center"/>
          </w:tcPr>
          <w:p w14:paraId="0410F375" w14:textId="77777777" w:rsidR="00F3106C" w:rsidRDefault="008B100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Global Context</w:t>
            </w:r>
          </w:p>
        </w:tc>
        <w:tc>
          <w:tcPr>
            <w:tcW w:w="1815" w:type="dxa"/>
            <w:vAlign w:val="center"/>
          </w:tcPr>
          <w:p w14:paraId="195894AA" w14:textId="77777777" w:rsidR="00F3106C" w:rsidRDefault="008B100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Statement of Inquiry</w:t>
            </w:r>
          </w:p>
        </w:tc>
        <w:tc>
          <w:tcPr>
            <w:tcW w:w="1605" w:type="dxa"/>
            <w:vAlign w:val="center"/>
          </w:tcPr>
          <w:p w14:paraId="764C0A55" w14:textId="77777777" w:rsidR="00F3106C" w:rsidRDefault="008B100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MYP Assessment Task</w:t>
            </w:r>
          </w:p>
          <w:p w14:paraId="5E355125" w14:textId="77777777" w:rsidR="00F3106C" w:rsidRDefault="008B100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&amp;</w:t>
            </w:r>
          </w:p>
          <w:p w14:paraId="3E76D26E" w14:textId="77777777" w:rsidR="00F3106C" w:rsidRDefault="008B100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ATL Focus</w:t>
            </w:r>
          </w:p>
        </w:tc>
        <w:tc>
          <w:tcPr>
            <w:tcW w:w="1350" w:type="dxa"/>
            <w:vAlign w:val="center"/>
          </w:tcPr>
          <w:p w14:paraId="6F73A591" w14:textId="77777777" w:rsidR="00F3106C" w:rsidRDefault="008B100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MYP Criteria</w:t>
            </w:r>
          </w:p>
        </w:tc>
        <w:tc>
          <w:tcPr>
            <w:tcW w:w="1080" w:type="dxa"/>
            <w:vAlign w:val="center"/>
          </w:tcPr>
          <w:p w14:paraId="42A3A330" w14:textId="77777777" w:rsidR="00F3106C" w:rsidRDefault="008B100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Learner Profile Focus</w:t>
            </w:r>
          </w:p>
        </w:tc>
      </w:tr>
      <w:tr w:rsidR="00F3106C" w14:paraId="25AF8A2C" w14:textId="77777777">
        <w:trPr>
          <w:trHeight w:val="2180"/>
        </w:trPr>
        <w:tc>
          <w:tcPr>
            <w:tcW w:w="825" w:type="dxa"/>
            <w:vAlign w:val="center"/>
          </w:tcPr>
          <w:p w14:paraId="28358217" w14:textId="77777777" w:rsidR="00F3106C" w:rsidRDefault="008B1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weeks</w:t>
            </w:r>
          </w:p>
          <w:p w14:paraId="27CC715E" w14:textId="77777777" w:rsidR="00F3106C" w:rsidRDefault="00F3106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14:paraId="6925E1C9" w14:textId="77777777" w:rsidR="00F3106C" w:rsidRDefault="008B1000">
            <w:pPr>
              <w:spacing w:line="240" w:lineRule="auto"/>
              <w:jc w:val="center"/>
            </w:pPr>
            <w:r>
              <w:t>Basic stage survival</w:t>
            </w:r>
            <w:proofErr w:type="gramStart"/>
            <w:r>
              <w:t>….I</w:t>
            </w:r>
            <w:proofErr w:type="gramEnd"/>
            <w:r>
              <w:t xml:space="preserve"> bet you can make it home alive! </w:t>
            </w:r>
          </w:p>
          <w:p w14:paraId="6D53D686" w14:textId="77777777" w:rsidR="00F3106C" w:rsidRDefault="00F3106C">
            <w:pPr>
              <w:spacing w:line="240" w:lineRule="auto"/>
              <w:jc w:val="center"/>
            </w:pPr>
          </w:p>
          <w:p w14:paraId="4459D235" w14:textId="77777777" w:rsidR="00F3106C" w:rsidRDefault="00F3106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4E21B16" w14:textId="77777777" w:rsidR="00F3106C" w:rsidRDefault="008B1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Participate in individual and group staging exercises </w:t>
            </w:r>
          </w:p>
        </w:tc>
        <w:tc>
          <w:tcPr>
            <w:tcW w:w="1215" w:type="dxa"/>
            <w:vAlign w:val="center"/>
          </w:tcPr>
          <w:p w14:paraId="3136010C" w14:textId="77777777" w:rsidR="00F3106C" w:rsidRDefault="008B1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6.1,6.3</w:t>
            </w:r>
          </w:p>
          <w:p w14:paraId="7FD2EBF8" w14:textId="77777777" w:rsidR="00F3106C" w:rsidRDefault="00F3106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9B3754A" w14:textId="77777777" w:rsidR="00F3106C" w:rsidRDefault="008B1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Creativity</w:t>
            </w:r>
          </w:p>
        </w:tc>
        <w:tc>
          <w:tcPr>
            <w:tcW w:w="1245" w:type="dxa"/>
            <w:vAlign w:val="center"/>
          </w:tcPr>
          <w:p w14:paraId="54A77CCF" w14:textId="77777777" w:rsidR="00F3106C" w:rsidRDefault="008B1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Interpretation, Aesthetics</w:t>
            </w:r>
          </w:p>
        </w:tc>
        <w:tc>
          <w:tcPr>
            <w:tcW w:w="1335" w:type="dxa"/>
            <w:vAlign w:val="center"/>
          </w:tcPr>
          <w:p w14:paraId="386C04BD" w14:textId="77777777" w:rsidR="00F3106C" w:rsidRDefault="008B1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and Cultural Expression</w:t>
            </w:r>
          </w:p>
        </w:tc>
        <w:tc>
          <w:tcPr>
            <w:tcW w:w="1815" w:type="dxa"/>
            <w:vAlign w:val="center"/>
          </w:tcPr>
          <w:p w14:paraId="22FEA3F3" w14:textId="77777777" w:rsidR="00F3106C" w:rsidRDefault="008B1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Through interpretive performance, students actively communicat</w:t>
            </w:r>
            <w:r>
              <w:rPr>
                <w:sz w:val="20"/>
                <w:szCs w:val="20"/>
              </w:rPr>
              <w:t xml:space="preserve">e varying roles. </w:t>
            </w:r>
          </w:p>
        </w:tc>
        <w:tc>
          <w:tcPr>
            <w:tcW w:w="1605" w:type="dxa"/>
            <w:vAlign w:val="center"/>
          </w:tcPr>
          <w:p w14:paraId="1DE45A3A" w14:textId="77777777" w:rsidR="00F3106C" w:rsidRDefault="008B1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Series of individual and group scenes  </w:t>
            </w:r>
          </w:p>
        </w:tc>
        <w:tc>
          <w:tcPr>
            <w:tcW w:w="1350" w:type="dxa"/>
            <w:vAlign w:val="center"/>
          </w:tcPr>
          <w:p w14:paraId="5C661858" w14:textId="77777777" w:rsidR="00F3106C" w:rsidRDefault="008B1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and </w:t>
            </w:r>
            <w:proofErr w:type="gramStart"/>
            <w:r>
              <w:rPr>
                <w:sz w:val="20"/>
                <w:szCs w:val="20"/>
              </w:rPr>
              <w:t>Understanding</w:t>
            </w:r>
            <w:proofErr w:type="gramEnd"/>
          </w:p>
        </w:tc>
        <w:tc>
          <w:tcPr>
            <w:tcW w:w="1080" w:type="dxa"/>
            <w:vAlign w:val="center"/>
          </w:tcPr>
          <w:p w14:paraId="53C0C76D" w14:textId="77777777" w:rsidR="00F3106C" w:rsidRDefault="008B1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Risk-Takers</w:t>
            </w:r>
          </w:p>
        </w:tc>
      </w:tr>
      <w:tr w:rsidR="00F3106C" w14:paraId="3A7DBD81" w14:textId="77777777">
        <w:trPr>
          <w:trHeight w:val="460"/>
        </w:trPr>
        <w:tc>
          <w:tcPr>
            <w:tcW w:w="825" w:type="dxa"/>
            <w:vAlign w:val="center"/>
          </w:tcPr>
          <w:p w14:paraId="5A549133" w14:textId="77777777" w:rsidR="00F3106C" w:rsidRDefault="008B1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weeks </w:t>
            </w:r>
          </w:p>
        </w:tc>
        <w:tc>
          <w:tcPr>
            <w:tcW w:w="1725" w:type="dxa"/>
            <w:vAlign w:val="center"/>
          </w:tcPr>
          <w:p w14:paraId="79533BD9" w14:textId="77777777" w:rsidR="00F3106C" w:rsidRDefault="00F3106C">
            <w:pPr>
              <w:widowControl w:val="0"/>
              <w:spacing w:line="240" w:lineRule="auto"/>
              <w:jc w:val="center"/>
            </w:pPr>
          </w:p>
          <w:p w14:paraId="092BEA5F" w14:textId="77777777" w:rsidR="00F3106C" w:rsidRDefault="008B1000">
            <w:pPr>
              <w:widowControl w:val="0"/>
              <w:spacing w:line="240" w:lineRule="auto"/>
              <w:jc w:val="center"/>
            </w:pPr>
            <w:r>
              <w:t>Entertainment news…get the real story</w:t>
            </w:r>
          </w:p>
          <w:p w14:paraId="74CAFFC5" w14:textId="77777777" w:rsidR="00F3106C" w:rsidRDefault="00F3106C">
            <w:pPr>
              <w:widowControl w:val="0"/>
              <w:spacing w:line="240" w:lineRule="auto"/>
              <w:jc w:val="center"/>
            </w:pPr>
          </w:p>
          <w:p w14:paraId="2AC330CA" w14:textId="77777777" w:rsidR="00F3106C" w:rsidRDefault="00F3106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D33718D" w14:textId="77777777" w:rsidR="00F3106C" w:rsidRDefault="008B1000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Create and conduct an interview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14:paraId="59980297" w14:textId="77777777" w:rsidR="00F3106C" w:rsidRDefault="008B1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6.4,6.5,</w:t>
            </w:r>
          </w:p>
          <w:p w14:paraId="37A848ED" w14:textId="77777777" w:rsidR="00F3106C" w:rsidRDefault="008B1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6.22</w:t>
            </w:r>
          </w:p>
        </w:tc>
        <w:tc>
          <w:tcPr>
            <w:tcW w:w="1260" w:type="dxa"/>
            <w:vAlign w:val="center"/>
          </w:tcPr>
          <w:p w14:paraId="4E027F6B" w14:textId="77777777" w:rsidR="00F3106C" w:rsidRDefault="008B1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Communication </w:t>
            </w:r>
          </w:p>
        </w:tc>
        <w:tc>
          <w:tcPr>
            <w:tcW w:w="1245" w:type="dxa"/>
            <w:vAlign w:val="center"/>
          </w:tcPr>
          <w:p w14:paraId="50DF051C" w14:textId="77777777" w:rsidR="00F3106C" w:rsidRDefault="008B1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Perspective, Creativity</w:t>
            </w:r>
          </w:p>
        </w:tc>
        <w:tc>
          <w:tcPr>
            <w:tcW w:w="1335" w:type="dxa"/>
            <w:vAlign w:val="center"/>
          </w:tcPr>
          <w:p w14:paraId="16D3E9D4" w14:textId="77777777" w:rsidR="00F3106C" w:rsidRDefault="008B1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and Cultural Expression</w:t>
            </w:r>
          </w:p>
        </w:tc>
        <w:tc>
          <w:tcPr>
            <w:tcW w:w="1815" w:type="dxa"/>
            <w:vAlign w:val="center"/>
          </w:tcPr>
          <w:p w14:paraId="5ABE17A5" w14:textId="77777777" w:rsidR="00F3106C" w:rsidRDefault="008B1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Through performance, students actively communicate a creative narrative. </w:t>
            </w:r>
          </w:p>
        </w:tc>
        <w:tc>
          <w:tcPr>
            <w:tcW w:w="1605" w:type="dxa"/>
            <w:vAlign w:val="center"/>
          </w:tcPr>
          <w:p w14:paraId="499E0688" w14:textId="77777777" w:rsidR="00F3106C" w:rsidRDefault="008B1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presentation </w:t>
            </w:r>
          </w:p>
          <w:p w14:paraId="4E6D7755" w14:textId="77777777" w:rsidR="00F3106C" w:rsidRDefault="00F3106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887CF3E" w14:textId="77777777" w:rsidR="00F3106C" w:rsidRDefault="00F3106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D2675C8" w14:textId="77777777" w:rsidR="00F3106C" w:rsidRDefault="008B1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</w:t>
            </w:r>
          </w:p>
        </w:tc>
        <w:tc>
          <w:tcPr>
            <w:tcW w:w="1080" w:type="dxa"/>
            <w:vAlign w:val="center"/>
          </w:tcPr>
          <w:p w14:paraId="778167F3" w14:textId="77777777" w:rsidR="00F3106C" w:rsidRDefault="008B1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Communicators</w:t>
            </w:r>
          </w:p>
        </w:tc>
      </w:tr>
      <w:tr w:rsidR="00F3106C" w14:paraId="07CE8160" w14:textId="77777777">
        <w:trPr>
          <w:trHeight w:val="460"/>
        </w:trPr>
        <w:tc>
          <w:tcPr>
            <w:tcW w:w="825" w:type="dxa"/>
            <w:vAlign w:val="center"/>
          </w:tcPr>
          <w:p w14:paraId="04DBCAD2" w14:textId="77777777" w:rsidR="00F3106C" w:rsidRDefault="008B1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weeks</w:t>
            </w:r>
          </w:p>
        </w:tc>
        <w:tc>
          <w:tcPr>
            <w:tcW w:w="1725" w:type="dxa"/>
            <w:vAlign w:val="center"/>
          </w:tcPr>
          <w:p w14:paraId="7F007C4E" w14:textId="77777777" w:rsidR="00F3106C" w:rsidRDefault="008B1000">
            <w:pPr>
              <w:widowControl w:val="0"/>
              <w:spacing w:line="240" w:lineRule="auto"/>
              <w:jc w:val="center"/>
            </w:pPr>
            <w:r>
              <w:t>As your grandma said</w:t>
            </w:r>
            <w:proofErr w:type="gramStart"/>
            <w:r>
              <w:t>…”you</w:t>
            </w:r>
            <w:proofErr w:type="gramEnd"/>
            <w:r>
              <w:t xml:space="preserve"> are such a character”</w:t>
            </w:r>
          </w:p>
          <w:p w14:paraId="50ADA802" w14:textId="77777777" w:rsidR="00F3106C" w:rsidRDefault="00F3106C">
            <w:pPr>
              <w:widowControl w:val="0"/>
              <w:spacing w:line="240" w:lineRule="auto"/>
              <w:jc w:val="center"/>
            </w:pPr>
          </w:p>
          <w:p w14:paraId="31132F51" w14:textId="77777777" w:rsidR="00F3106C" w:rsidRDefault="00F3106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80B010E" w14:textId="77777777" w:rsidR="00F3106C" w:rsidRDefault="008B1000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Create and perform a character monologue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14:paraId="69344CA0" w14:textId="77777777" w:rsidR="00F3106C" w:rsidRDefault="008B1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6.2,6.6</w:t>
            </w:r>
          </w:p>
        </w:tc>
        <w:tc>
          <w:tcPr>
            <w:tcW w:w="1260" w:type="dxa"/>
            <w:vAlign w:val="center"/>
          </w:tcPr>
          <w:p w14:paraId="166C8E76" w14:textId="77777777" w:rsidR="00F3106C" w:rsidRDefault="008B1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Communication </w:t>
            </w:r>
          </w:p>
        </w:tc>
        <w:tc>
          <w:tcPr>
            <w:tcW w:w="1245" w:type="dxa"/>
            <w:vAlign w:val="center"/>
          </w:tcPr>
          <w:p w14:paraId="5DA213C4" w14:textId="77777777" w:rsidR="00F3106C" w:rsidRDefault="008B1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Interpretation, Creativity </w:t>
            </w:r>
          </w:p>
        </w:tc>
        <w:tc>
          <w:tcPr>
            <w:tcW w:w="1335" w:type="dxa"/>
            <w:vAlign w:val="center"/>
          </w:tcPr>
          <w:p w14:paraId="2DDD2A4F" w14:textId="77777777" w:rsidR="00F3106C" w:rsidRDefault="008B1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and Cultural Expression</w:t>
            </w:r>
          </w:p>
        </w:tc>
        <w:tc>
          <w:tcPr>
            <w:tcW w:w="1815" w:type="dxa"/>
            <w:vAlign w:val="center"/>
          </w:tcPr>
          <w:p w14:paraId="18ACE5F4" w14:textId="77777777" w:rsidR="00F3106C" w:rsidRDefault="008B1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Through performance, students actively create visual theatre. </w:t>
            </w:r>
          </w:p>
        </w:tc>
        <w:tc>
          <w:tcPr>
            <w:tcW w:w="1605" w:type="dxa"/>
            <w:vAlign w:val="center"/>
          </w:tcPr>
          <w:p w14:paraId="3BFE7F88" w14:textId="77777777" w:rsidR="00F3106C" w:rsidRDefault="008B1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monologue performance</w:t>
            </w:r>
          </w:p>
        </w:tc>
        <w:tc>
          <w:tcPr>
            <w:tcW w:w="1350" w:type="dxa"/>
            <w:vAlign w:val="center"/>
          </w:tcPr>
          <w:p w14:paraId="2D6F5F98" w14:textId="77777777" w:rsidR="00F3106C" w:rsidRDefault="008B1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  <w:tc>
          <w:tcPr>
            <w:tcW w:w="1080" w:type="dxa"/>
            <w:vAlign w:val="center"/>
          </w:tcPr>
          <w:p w14:paraId="24B3263C" w14:textId="77777777" w:rsidR="00F3106C" w:rsidRDefault="008B1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Knowledgeable </w:t>
            </w:r>
          </w:p>
        </w:tc>
      </w:tr>
    </w:tbl>
    <w:p w14:paraId="1845EE7C" w14:textId="77777777" w:rsidR="00F3106C" w:rsidRDefault="00F3106C">
      <w:pPr>
        <w:spacing w:line="240" w:lineRule="auto"/>
        <w:rPr>
          <w:sz w:val="20"/>
          <w:szCs w:val="20"/>
        </w:rPr>
      </w:pPr>
    </w:p>
    <w:p w14:paraId="4DDABDC6" w14:textId="77777777" w:rsidR="00F3106C" w:rsidRDefault="008B100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Support of Personal Project: </w:t>
      </w:r>
      <w:r>
        <w:rPr>
          <w:i/>
          <w:sz w:val="20"/>
          <w:szCs w:val="20"/>
        </w:rPr>
        <w:t>(Develop a narrative description of the ways in which your class supports the development of skills stu</w:t>
      </w:r>
      <w:r>
        <w:rPr>
          <w:i/>
          <w:sz w:val="20"/>
          <w:szCs w:val="20"/>
        </w:rPr>
        <w:t>dents will need to complete the Personal Project (completed in MYP Year 5).   Areas to consider include, but are not limited to, the development of students’ autonomy, self-confidence, reflection, perseverance, time-management, organization, and research.)</w:t>
      </w:r>
      <w:r>
        <w:rPr>
          <w:i/>
          <w:sz w:val="20"/>
          <w:szCs w:val="20"/>
        </w:rPr>
        <w:t xml:space="preserve">  This course will foster each student’s ability to work collaboratively with peers, to self-evaluate and self-critique their work, and develop strong self-confidence.  These abilities will be enhanced through group rehearsal and performance as well as ind</w:t>
      </w:r>
      <w:r>
        <w:rPr>
          <w:i/>
          <w:sz w:val="20"/>
          <w:szCs w:val="20"/>
        </w:rPr>
        <w:t xml:space="preserve">ividual performance. </w:t>
      </w:r>
    </w:p>
    <w:p w14:paraId="5BAF2DA5" w14:textId="77777777" w:rsidR="00F3106C" w:rsidRDefault="00F3106C">
      <w:pPr>
        <w:rPr>
          <w:sz w:val="20"/>
          <w:szCs w:val="20"/>
        </w:rPr>
      </w:pPr>
    </w:p>
    <w:sectPr w:rsidR="00F3106C">
      <w:pgSz w:w="15840" w:h="12240" w:orient="landscape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6C"/>
    <w:rsid w:val="008B1000"/>
    <w:rsid w:val="00F3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28230"/>
  <w15:docId w15:val="{9BA1415F-2078-427D-A54A-ECD88F3D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P. Wilcox (mpwilcox)</dc:creator>
  <cp:lastModifiedBy>Marie P. Wilcox (mpwilcox)</cp:lastModifiedBy>
  <cp:revision>2</cp:revision>
  <dcterms:created xsi:type="dcterms:W3CDTF">2021-09-16T16:56:00Z</dcterms:created>
  <dcterms:modified xsi:type="dcterms:W3CDTF">2021-09-16T16:56:00Z</dcterms:modified>
</cp:coreProperties>
</file>