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605"/>
        <w:gridCol w:w="1077"/>
        <w:gridCol w:w="1073"/>
        <w:gridCol w:w="1341"/>
        <w:gridCol w:w="1430"/>
        <w:gridCol w:w="1341"/>
        <w:gridCol w:w="1699"/>
        <w:gridCol w:w="1341"/>
        <w:gridCol w:w="1430"/>
        <w:gridCol w:w="1430"/>
      </w:tblGrid>
      <w:tr w:rsidR="00FC3D20" w:rsidRPr="004B51E7" w:rsidTr="00C4438E">
        <w:trPr>
          <w:trHeight w:val="1327"/>
        </w:trPr>
        <w:tc>
          <w:tcPr>
            <w:tcW w:w="1090" w:type="dxa"/>
            <w:vAlign w:val="center"/>
          </w:tcPr>
          <w:p w:rsidR="00FC3D20" w:rsidRPr="005B522D" w:rsidRDefault="00FC3D20" w:rsidP="00921368">
            <w:pPr>
              <w:pStyle w:val="Heading1"/>
              <w:rPr>
                <w:rFonts w:ascii="Calibri" w:hAnsi="Calibri"/>
                <w:sz w:val="18"/>
                <w:szCs w:val="20"/>
              </w:rPr>
            </w:pPr>
            <w:r w:rsidRPr="005B522D">
              <w:rPr>
                <w:rFonts w:ascii="Calibri" w:hAnsi="Calibri"/>
                <w:sz w:val="18"/>
                <w:szCs w:val="20"/>
              </w:rPr>
              <w:t>Time</w:t>
            </w:r>
          </w:p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Frame</w:t>
            </w:r>
          </w:p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(Dates)</w:t>
            </w:r>
          </w:p>
        </w:tc>
        <w:tc>
          <w:tcPr>
            <w:tcW w:w="1605" w:type="dxa"/>
            <w:vAlign w:val="center"/>
          </w:tcPr>
          <w:p w:rsidR="00FC3D20" w:rsidRPr="005B522D" w:rsidRDefault="00FC3D20" w:rsidP="00921368">
            <w:pPr>
              <w:pStyle w:val="Heading1"/>
              <w:rPr>
                <w:rFonts w:ascii="Calibri" w:hAnsi="Calibri"/>
                <w:sz w:val="18"/>
                <w:szCs w:val="20"/>
              </w:rPr>
            </w:pPr>
            <w:r w:rsidRPr="005B522D">
              <w:rPr>
                <w:rFonts w:ascii="Calibri" w:hAnsi="Calibri"/>
                <w:sz w:val="18"/>
                <w:szCs w:val="20"/>
              </w:rPr>
              <w:t>Unit Title and Topic (*=interdisciplinary connection; @=Action)</w:t>
            </w:r>
          </w:p>
        </w:tc>
        <w:tc>
          <w:tcPr>
            <w:tcW w:w="1077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MYP Objectives</w:t>
            </w:r>
          </w:p>
        </w:tc>
        <w:tc>
          <w:tcPr>
            <w:tcW w:w="1073" w:type="dxa"/>
            <w:vAlign w:val="center"/>
          </w:tcPr>
          <w:p w:rsidR="00FC3D20" w:rsidRPr="005B522D" w:rsidRDefault="00FC3D20" w:rsidP="00921368">
            <w:pPr>
              <w:pStyle w:val="Heading1"/>
              <w:rPr>
                <w:rFonts w:ascii="Calibri" w:hAnsi="Calibri"/>
                <w:sz w:val="18"/>
                <w:szCs w:val="20"/>
              </w:rPr>
            </w:pPr>
            <w:r w:rsidRPr="005B522D">
              <w:rPr>
                <w:rFonts w:ascii="Calibri" w:hAnsi="Calibri"/>
                <w:sz w:val="18"/>
                <w:szCs w:val="20"/>
              </w:rPr>
              <w:t>State Standards</w:t>
            </w:r>
          </w:p>
        </w:tc>
        <w:tc>
          <w:tcPr>
            <w:tcW w:w="1341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Key Concept</w:t>
            </w:r>
          </w:p>
        </w:tc>
        <w:tc>
          <w:tcPr>
            <w:tcW w:w="1430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16"/>
              </w:rPr>
              <w:t>Related Concepts</w:t>
            </w:r>
          </w:p>
        </w:tc>
        <w:tc>
          <w:tcPr>
            <w:tcW w:w="1341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Global Context</w:t>
            </w:r>
          </w:p>
        </w:tc>
        <w:tc>
          <w:tcPr>
            <w:tcW w:w="1699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Statement of Inquiry</w:t>
            </w:r>
          </w:p>
        </w:tc>
        <w:tc>
          <w:tcPr>
            <w:tcW w:w="1341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MYP Assessment Task</w:t>
            </w:r>
          </w:p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&amp;</w:t>
            </w:r>
          </w:p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ATL Focus</w:t>
            </w:r>
          </w:p>
        </w:tc>
        <w:tc>
          <w:tcPr>
            <w:tcW w:w="1430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MYP Criteria</w:t>
            </w:r>
          </w:p>
        </w:tc>
        <w:tc>
          <w:tcPr>
            <w:tcW w:w="1430" w:type="dxa"/>
            <w:vAlign w:val="center"/>
          </w:tcPr>
          <w:p w:rsidR="00FC3D20" w:rsidRPr="005B522D" w:rsidRDefault="00FC3D20" w:rsidP="00921368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5B522D">
              <w:rPr>
                <w:rFonts w:ascii="Calibri" w:hAnsi="Calibri"/>
                <w:b/>
                <w:bCs/>
                <w:sz w:val="18"/>
                <w:szCs w:val="20"/>
              </w:rPr>
              <w:t>Learner Profile Focus</w:t>
            </w:r>
          </w:p>
        </w:tc>
      </w:tr>
      <w:tr w:rsidR="00FC3D20" w:rsidRPr="00762E7E" w:rsidTr="00C4438E">
        <w:trPr>
          <w:trHeight w:val="404"/>
        </w:trPr>
        <w:tc>
          <w:tcPr>
            <w:tcW w:w="1090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605" w:type="dxa"/>
            <w:vAlign w:val="center"/>
          </w:tcPr>
          <w:p w:rsidR="00C4438E" w:rsidRDefault="00C4438E" w:rsidP="00921368">
            <w:pPr>
              <w:jc w:val="center"/>
            </w:pPr>
            <w:r>
              <w:t>Construction Zone</w:t>
            </w:r>
          </w:p>
          <w:p w:rsidR="00FC3D20" w:rsidRPr="00E63BA1" w:rsidRDefault="00FC3D2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C3D20" w:rsidRPr="00E63BA1" w:rsidRDefault="006A309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073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G.3 and G.4</w:t>
            </w:r>
          </w:p>
        </w:tc>
        <w:tc>
          <w:tcPr>
            <w:tcW w:w="1341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Form</w:t>
            </w:r>
          </w:p>
        </w:tc>
        <w:tc>
          <w:tcPr>
            <w:tcW w:w="1430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Measurement, </w:t>
            </w:r>
            <w:r w:rsidR="006A3090"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Justification</w:t>
            </w: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, Generalization</w:t>
            </w:r>
          </w:p>
        </w:tc>
        <w:tc>
          <w:tcPr>
            <w:tcW w:w="1341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Globalization and sustainability</w:t>
            </w:r>
          </w:p>
        </w:tc>
        <w:tc>
          <w:tcPr>
            <w:tcW w:w="1699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Measurement and generalization represent form through justification of commonalities, diversities, and interconnections.</w:t>
            </w:r>
          </w:p>
        </w:tc>
        <w:tc>
          <w:tcPr>
            <w:tcW w:w="1341" w:type="dxa"/>
            <w:vAlign w:val="center"/>
          </w:tcPr>
          <w:p w:rsidR="00FC3D20" w:rsidRPr="00E63BA1" w:rsidRDefault="00CD3913" w:rsidP="00CD39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Construct </w:t>
            </w:r>
            <w:r w:rsidR="00E63BA1"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advertisement;</w:t>
            </w:r>
          </w:p>
          <w:p w:rsidR="00CD3913" w:rsidRPr="00E63BA1" w:rsidRDefault="00CD3913" w:rsidP="00CD39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In order for students to communicate effectively, students must reason logically using generalizations regarding form and measurement.</w:t>
            </w:r>
          </w:p>
        </w:tc>
        <w:tc>
          <w:tcPr>
            <w:tcW w:w="1430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430" w:type="dxa"/>
            <w:vAlign w:val="center"/>
          </w:tcPr>
          <w:p w:rsidR="00FC3D20" w:rsidRPr="00E63BA1" w:rsidRDefault="00CD3913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Communicators</w:t>
            </w:r>
          </w:p>
        </w:tc>
      </w:tr>
      <w:tr w:rsidR="00FC3D20" w:rsidRPr="00762E7E" w:rsidTr="00C4438E">
        <w:trPr>
          <w:trHeight w:val="404"/>
        </w:trPr>
        <w:tc>
          <w:tcPr>
            <w:tcW w:w="109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05" w:type="dxa"/>
            <w:vAlign w:val="center"/>
          </w:tcPr>
          <w:p w:rsidR="00FC3D20" w:rsidRPr="00E63BA1" w:rsidRDefault="00C4438E" w:rsidP="00C443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Start Making Sense</w:t>
            </w:r>
          </w:p>
        </w:tc>
        <w:tc>
          <w:tcPr>
            <w:tcW w:w="1077" w:type="dxa"/>
            <w:vAlign w:val="center"/>
          </w:tcPr>
          <w:p w:rsidR="00FC3D20" w:rsidRPr="00E63BA1" w:rsidRDefault="006A3090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073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G.1 and G.2</w:t>
            </w:r>
          </w:p>
        </w:tc>
        <w:tc>
          <w:tcPr>
            <w:tcW w:w="1341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Logic</w:t>
            </w:r>
          </w:p>
        </w:tc>
        <w:tc>
          <w:tcPr>
            <w:tcW w:w="143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Generalization, justification, representation</w:t>
            </w:r>
          </w:p>
        </w:tc>
        <w:tc>
          <w:tcPr>
            <w:tcW w:w="1341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Scientific and technical innovation</w:t>
            </w:r>
          </w:p>
        </w:tc>
        <w:tc>
          <w:tcPr>
            <w:tcW w:w="1699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Justification and generalization represent logic through mathematical puzzles, principles and discoveries</w:t>
            </w:r>
          </w:p>
        </w:tc>
        <w:tc>
          <w:tcPr>
            <w:tcW w:w="1341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Create a break out box; 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In order for students to know and understand, students must think critically by drawing reasonable conclusions and generalizations.</w:t>
            </w:r>
          </w:p>
        </w:tc>
        <w:tc>
          <w:tcPr>
            <w:tcW w:w="143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43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Inquirers</w:t>
            </w:r>
          </w:p>
        </w:tc>
      </w:tr>
      <w:tr w:rsidR="00FC3D20" w:rsidRPr="00762E7E" w:rsidTr="00C4438E">
        <w:trPr>
          <w:trHeight w:val="404"/>
        </w:trPr>
        <w:tc>
          <w:tcPr>
            <w:tcW w:w="109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605" w:type="dxa"/>
            <w:vAlign w:val="center"/>
          </w:tcPr>
          <w:p w:rsidR="00C4438E" w:rsidRDefault="00C4438E" w:rsidP="00921368">
            <w:pPr>
              <w:jc w:val="center"/>
            </w:pPr>
            <w:r>
              <w:t>Prove It</w:t>
            </w:r>
          </w:p>
          <w:p w:rsidR="00FC3D20" w:rsidRPr="00E63BA1" w:rsidRDefault="00FC3D2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C3D20" w:rsidRPr="00E63BA1" w:rsidRDefault="006A309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1073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G.5, G.10a, G.6</w:t>
            </w:r>
          </w:p>
        </w:tc>
        <w:tc>
          <w:tcPr>
            <w:tcW w:w="1341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Relationships</w:t>
            </w:r>
          </w:p>
        </w:tc>
        <w:tc>
          <w:tcPr>
            <w:tcW w:w="143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Logic, Justification</w:t>
            </w:r>
          </w:p>
        </w:tc>
        <w:tc>
          <w:tcPr>
            <w:tcW w:w="1341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Scientific and technical innovation</w:t>
            </w:r>
          </w:p>
        </w:tc>
        <w:tc>
          <w:tcPr>
            <w:tcW w:w="1699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Justification of relationships develops through systems, models, methods and logic.</w:t>
            </w:r>
          </w:p>
        </w:tc>
        <w:tc>
          <w:tcPr>
            <w:tcW w:w="1341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Convince a “jury” that two triangles are congruent; 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 xml:space="preserve">In order to communicate 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effectively using mathematics, students must define relationships using logical justifications and conclusions.</w:t>
            </w:r>
          </w:p>
        </w:tc>
        <w:tc>
          <w:tcPr>
            <w:tcW w:w="143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</w:t>
            </w:r>
          </w:p>
        </w:tc>
        <w:tc>
          <w:tcPr>
            <w:tcW w:w="1430" w:type="dxa"/>
            <w:vAlign w:val="center"/>
          </w:tcPr>
          <w:p w:rsidR="00FC3D20" w:rsidRPr="00E63BA1" w:rsidRDefault="006C6DA6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Communicators</w:t>
            </w:r>
          </w:p>
        </w:tc>
      </w:tr>
      <w:tr w:rsidR="00FC3D20" w:rsidRPr="00762E7E" w:rsidTr="00C4438E">
        <w:trPr>
          <w:trHeight w:val="404"/>
        </w:trPr>
        <w:tc>
          <w:tcPr>
            <w:tcW w:w="1090" w:type="dxa"/>
            <w:vAlign w:val="center"/>
          </w:tcPr>
          <w:p w:rsidR="00FC3D20" w:rsidRPr="00E63BA1" w:rsidRDefault="00BD04B0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605" w:type="dxa"/>
            <w:vAlign w:val="center"/>
          </w:tcPr>
          <w:p w:rsidR="00FC3D20" w:rsidRPr="00E63BA1" w:rsidRDefault="00C4438E" w:rsidP="00C443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Getting </w:t>
            </w:r>
            <w:proofErr w:type="spellStart"/>
            <w:r>
              <w:t>Triggy</w:t>
            </w:r>
            <w:proofErr w:type="spellEnd"/>
            <w:r>
              <w:t xml:space="preserve"> With It  </w:t>
            </w:r>
          </w:p>
        </w:tc>
        <w:tc>
          <w:tcPr>
            <w:tcW w:w="1077" w:type="dxa"/>
            <w:vAlign w:val="center"/>
          </w:tcPr>
          <w:p w:rsidR="00FC3D20" w:rsidRPr="00E63BA1" w:rsidRDefault="006A3090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073" w:type="dxa"/>
            <w:vAlign w:val="center"/>
          </w:tcPr>
          <w:p w:rsidR="00FC3D20" w:rsidRPr="00E63BA1" w:rsidRDefault="00BD04B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G.7, G.8, G.14a</w:t>
            </w:r>
          </w:p>
        </w:tc>
        <w:tc>
          <w:tcPr>
            <w:tcW w:w="1341" w:type="dxa"/>
            <w:vAlign w:val="center"/>
          </w:tcPr>
          <w:p w:rsidR="00FC3D20" w:rsidRPr="00E63BA1" w:rsidRDefault="00BD04B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Relationships</w:t>
            </w:r>
          </w:p>
        </w:tc>
        <w:tc>
          <w:tcPr>
            <w:tcW w:w="1430" w:type="dxa"/>
            <w:vAlign w:val="center"/>
          </w:tcPr>
          <w:p w:rsidR="00FC3D20" w:rsidRPr="00E63BA1" w:rsidRDefault="00BD04B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Pattern, measurement</w:t>
            </w:r>
          </w:p>
        </w:tc>
        <w:tc>
          <w:tcPr>
            <w:tcW w:w="1341" w:type="dxa"/>
            <w:vAlign w:val="center"/>
          </w:tcPr>
          <w:p w:rsidR="00FC3D20" w:rsidRPr="00E63BA1" w:rsidRDefault="00BD04B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Orientation in space and time</w:t>
            </w:r>
          </w:p>
        </w:tc>
        <w:tc>
          <w:tcPr>
            <w:tcW w:w="1699" w:type="dxa"/>
            <w:vAlign w:val="center"/>
          </w:tcPr>
          <w:p w:rsidR="00FC3D20" w:rsidRPr="00E63BA1" w:rsidRDefault="00BD04B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Using patterns developed by measurement, explore relationships of scale, duration, frequency and variability.</w:t>
            </w:r>
          </w:p>
        </w:tc>
        <w:tc>
          <w:tcPr>
            <w:tcW w:w="1341" w:type="dxa"/>
            <w:vAlign w:val="center"/>
          </w:tcPr>
          <w:p w:rsidR="00FC3D20" w:rsidRPr="00E63BA1" w:rsidRDefault="00705B8B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Create a treehouse,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 xml:space="preserve"> In order to think critically and creatively, students will use models and simulations to explore complex systems and ideas and their relationships.</w:t>
            </w:r>
          </w:p>
        </w:tc>
        <w:tc>
          <w:tcPr>
            <w:tcW w:w="1430" w:type="dxa"/>
            <w:vAlign w:val="center"/>
          </w:tcPr>
          <w:p w:rsidR="00FC3D20" w:rsidRPr="00E63BA1" w:rsidRDefault="00705B8B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430" w:type="dxa"/>
            <w:vAlign w:val="center"/>
          </w:tcPr>
          <w:p w:rsidR="00FC3D20" w:rsidRPr="00E63BA1" w:rsidRDefault="00705B8B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Risk takers</w:t>
            </w:r>
          </w:p>
        </w:tc>
      </w:tr>
      <w:tr w:rsidR="00FC3D20" w:rsidRPr="00762E7E" w:rsidTr="00C4438E">
        <w:trPr>
          <w:trHeight w:val="404"/>
        </w:trPr>
        <w:tc>
          <w:tcPr>
            <w:tcW w:w="1090" w:type="dxa"/>
            <w:vAlign w:val="center"/>
          </w:tcPr>
          <w:p w:rsidR="00FC3D20" w:rsidRPr="00E63BA1" w:rsidRDefault="00705B8B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605" w:type="dxa"/>
            <w:vAlign w:val="center"/>
          </w:tcPr>
          <w:p w:rsidR="00C4438E" w:rsidRDefault="00C4438E" w:rsidP="00921368">
            <w:pPr>
              <w:jc w:val="center"/>
            </w:pPr>
            <w:proofErr w:type="spellStart"/>
            <w:r>
              <w:t>Le’t</w:t>
            </w:r>
            <w:proofErr w:type="spellEnd"/>
            <w:r>
              <w:t xml:space="preserve"> Tessellate</w:t>
            </w:r>
          </w:p>
          <w:p w:rsidR="00FC3D20" w:rsidRPr="00E63BA1" w:rsidRDefault="00FC3D20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C3D20" w:rsidRPr="00E63BA1" w:rsidRDefault="006A3090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073" w:type="dxa"/>
            <w:vAlign w:val="center"/>
          </w:tcPr>
          <w:p w:rsidR="00FC3D20" w:rsidRPr="00E63BA1" w:rsidRDefault="007039F5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G.10, G.4a, G.14a, G.9</w:t>
            </w:r>
          </w:p>
        </w:tc>
        <w:tc>
          <w:tcPr>
            <w:tcW w:w="1341" w:type="dxa"/>
            <w:vAlign w:val="center"/>
          </w:tcPr>
          <w:p w:rsidR="00FC3D20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Relationships</w:t>
            </w:r>
          </w:p>
        </w:tc>
        <w:tc>
          <w:tcPr>
            <w:tcW w:w="1430" w:type="dxa"/>
            <w:vAlign w:val="center"/>
          </w:tcPr>
          <w:p w:rsidR="00FC3D20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Patterns, measurement</w:t>
            </w:r>
          </w:p>
        </w:tc>
        <w:tc>
          <w:tcPr>
            <w:tcW w:w="1341" w:type="dxa"/>
            <w:vAlign w:val="center"/>
          </w:tcPr>
          <w:p w:rsidR="00FC3D20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Personal and cultural expression</w:t>
            </w:r>
          </w:p>
        </w:tc>
        <w:tc>
          <w:tcPr>
            <w:tcW w:w="1699" w:type="dxa"/>
            <w:vAlign w:val="center"/>
          </w:tcPr>
          <w:p w:rsidR="00921368" w:rsidRPr="00E63BA1" w:rsidRDefault="00921368" w:rsidP="00921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Using patterns developed by measurement, explore relationships of artistry, craft, creation, and beauty.</w:t>
            </w:r>
          </w:p>
          <w:p w:rsidR="00FC3D20" w:rsidRPr="00E63BA1" w:rsidRDefault="00FC3D20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FC3D20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Construct a tessellation to draw attention to an important cause; 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 xml:space="preserve">In order to think critically and creatively, students will create original works and ideas by examining the relationships 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between measurements and models</w:t>
            </w:r>
          </w:p>
        </w:tc>
        <w:tc>
          <w:tcPr>
            <w:tcW w:w="1430" w:type="dxa"/>
            <w:vAlign w:val="center"/>
          </w:tcPr>
          <w:p w:rsidR="00FC3D20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</w:t>
            </w:r>
          </w:p>
        </w:tc>
        <w:tc>
          <w:tcPr>
            <w:tcW w:w="1430" w:type="dxa"/>
            <w:vAlign w:val="center"/>
          </w:tcPr>
          <w:p w:rsidR="00FC3D20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Open – minded</w:t>
            </w:r>
          </w:p>
        </w:tc>
      </w:tr>
      <w:tr w:rsidR="00921368" w:rsidRPr="00762E7E" w:rsidTr="00C4438E">
        <w:trPr>
          <w:trHeight w:val="404"/>
        </w:trPr>
        <w:tc>
          <w:tcPr>
            <w:tcW w:w="1090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605" w:type="dxa"/>
            <w:vAlign w:val="center"/>
          </w:tcPr>
          <w:p w:rsidR="00C4438E" w:rsidRDefault="00C4438E" w:rsidP="00921368">
            <w:pPr>
              <w:jc w:val="center"/>
            </w:pPr>
            <w:r>
              <w:t>Circle Up</w:t>
            </w:r>
          </w:p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921368" w:rsidRPr="00E63BA1" w:rsidRDefault="006A3090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073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G.4h, G.11, G.12</w:t>
            </w:r>
          </w:p>
        </w:tc>
        <w:tc>
          <w:tcPr>
            <w:tcW w:w="1341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Relationships</w:t>
            </w:r>
          </w:p>
        </w:tc>
        <w:tc>
          <w:tcPr>
            <w:tcW w:w="1430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Patterns, measurement</w:t>
            </w:r>
          </w:p>
        </w:tc>
        <w:tc>
          <w:tcPr>
            <w:tcW w:w="1341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Orientation of space and time</w:t>
            </w:r>
          </w:p>
        </w:tc>
        <w:tc>
          <w:tcPr>
            <w:tcW w:w="1699" w:type="dxa"/>
            <w:vAlign w:val="center"/>
          </w:tcPr>
          <w:p w:rsidR="00921368" w:rsidRPr="00E63BA1" w:rsidRDefault="00921368" w:rsidP="00921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Using patterns developed by measurement, explore variations in space and time.</w:t>
            </w:r>
          </w:p>
        </w:tc>
        <w:tc>
          <w:tcPr>
            <w:tcW w:w="1341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Written assessment, 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In order to think critically and creatively, students will examine the relationships between measurements and models.</w:t>
            </w:r>
          </w:p>
        </w:tc>
        <w:tc>
          <w:tcPr>
            <w:tcW w:w="1430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430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Knowledgeable </w:t>
            </w:r>
          </w:p>
        </w:tc>
      </w:tr>
      <w:tr w:rsidR="00921368" w:rsidRPr="00762E7E" w:rsidTr="00C4438E">
        <w:trPr>
          <w:trHeight w:val="404"/>
        </w:trPr>
        <w:tc>
          <w:tcPr>
            <w:tcW w:w="1090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605" w:type="dxa"/>
            <w:vAlign w:val="center"/>
          </w:tcPr>
          <w:p w:rsidR="00C4438E" w:rsidRDefault="00C4438E" w:rsidP="00921368">
            <w:pPr>
              <w:jc w:val="center"/>
            </w:pPr>
            <w:r>
              <w:t>Geometry Saves the World</w:t>
            </w:r>
          </w:p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921368" w:rsidRPr="00E63BA1" w:rsidRDefault="006A3090" w:rsidP="009213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1073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G.13, G.14</w:t>
            </w:r>
          </w:p>
        </w:tc>
        <w:tc>
          <w:tcPr>
            <w:tcW w:w="1341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Relationships</w:t>
            </w:r>
          </w:p>
        </w:tc>
        <w:tc>
          <w:tcPr>
            <w:tcW w:w="1430" w:type="dxa"/>
            <w:vAlign w:val="center"/>
          </w:tcPr>
          <w:p w:rsidR="00921368" w:rsidRPr="00E63BA1" w:rsidRDefault="00921368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Patterns, measurement</w:t>
            </w:r>
          </w:p>
        </w:tc>
        <w:tc>
          <w:tcPr>
            <w:tcW w:w="1341" w:type="dxa"/>
            <w:vAlign w:val="center"/>
          </w:tcPr>
          <w:p w:rsidR="00921368" w:rsidRPr="00E63BA1" w:rsidRDefault="00E63BA1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Globalization and sustainability</w:t>
            </w:r>
          </w:p>
        </w:tc>
        <w:tc>
          <w:tcPr>
            <w:tcW w:w="1699" w:type="dxa"/>
            <w:vAlign w:val="center"/>
          </w:tcPr>
          <w:p w:rsidR="00921368" w:rsidRPr="00E63BA1" w:rsidRDefault="00E63BA1" w:rsidP="00921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Using patterns developed by measurement, explore the human impact on the environment.</w:t>
            </w:r>
          </w:p>
        </w:tc>
        <w:tc>
          <w:tcPr>
            <w:tcW w:w="1341" w:type="dxa"/>
            <w:vAlign w:val="center"/>
          </w:tcPr>
          <w:p w:rsidR="00921368" w:rsidRPr="00E63BA1" w:rsidRDefault="00E63BA1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Geometry saves the world project; </w:t>
            </w:r>
            <w:r w:rsidRPr="00E63BA1">
              <w:rPr>
                <w:rFonts w:asciiTheme="minorHAnsi" w:hAnsiTheme="minorHAnsi" w:cstheme="minorHAnsi"/>
                <w:sz w:val="20"/>
                <w:szCs w:val="20"/>
              </w:rPr>
              <w:t>In order to think critically and creatively, students will determine realistic solutions to problems facing the environment.</w:t>
            </w:r>
          </w:p>
        </w:tc>
        <w:tc>
          <w:tcPr>
            <w:tcW w:w="1430" w:type="dxa"/>
            <w:vAlign w:val="center"/>
          </w:tcPr>
          <w:p w:rsidR="00921368" w:rsidRPr="00E63BA1" w:rsidRDefault="00E63BA1" w:rsidP="0092136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1430" w:type="dxa"/>
            <w:vAlign w:val="center"/>
          </w:tcPr>
          <w:p w:rsidR="00E63BA1" w:rsidRPr="00E63BA1" w:rsidRDefault="00E63BA1" w:rsidP="00E63B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3BA1">
              <w:rPr>
                <w:rFonts w:asciiTheme="minorHAnsi" w:hAnsiTheme="minorHAnsi" w:cstheme="minorHAnsi"/>
                <w:bCs/>
                <w:sz w:val="20"/>
                <w:szCs w:val="20"/>
              </w:rPr>
              <w:t>Caring</w:t>
            </w:r>
          </w:p>
        </w:tc>
      </w:tr>
    </w:tbl>
    <w:p w:rsidR="00FD38A0" w:rsidRDefault="00FD38A0"/>
    <w:sectPr w:rsidR="00FD38A0" w:rsidSect="00FC3D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20"/>
    <w:rsid w:val="006A3090"/>
    <w:rsid w:val="006A4B8E"/>
    <w:rsid w:val="006C6DA6"/>
    <w:rsid w:val="007039F5"/>
    <w:rsid w:val="00705B8B"/>
    <w:rsid w:val="00921368"/>
    <w:rsid w:val="009F066D"/>
    <w:rsid w:val="00BD04B0"/>
    <w:rsid w:val="00C4438E"/>
    <w:rsid w:val="00CD3913"/>
    <w:rsid w:val="00E63BA1"/>
    <w:rsid w:val="00EA71E6"/>
    <w:rsid w:val="00FC3D20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ACBE"/>
  <w15:chartTrackingRefBased/>
  <w15:docId w15:val="{CD21B3A8-DFC5-433C-8B83-56F16614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20"/>
    <w:pPr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D20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D20"/>
    <w:rPr>
      <w:rFonts w:ascii="Palatino" w:eastAsia="Times New Roman" w:hAnsi="Palatino" w:cs="Times New Roman"/>
      <w:b/>
      <w:bCs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CD3913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D3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M. Junta (amjunta)</dc:creator>
  <cp:keywords/>
  <dc:description/>
  <cp:lastModifiedBy>Marie P. Wilcox (mpwilcox)</cp:lastModifiedBy>
  <cp:revision>2</cp:revision>
  <dcterms:created xsi:type="dcterms:W3CDTF">2019-06-03T13:45:00Z</dcterms:created>
  <dcterms:modified xsi:type="dcterms:W3CDTF">2019-06-03T13:45:00Z</dcterms:modified>
</cp:coreProperties>
</file>