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6985" w:rsidRPr="00E53340" w:rsidRDefault="00E53340">
      <w:pPr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E53340">
        <w:rPr>
          <w:rFonts w:ascii="Times New Roman" w:eastAsia="Georgia" w:hAnsi="Times New Roman" w:cs="Times New Roman"/>
          <w:b/>
          <w:sz w:val="28"/>
          <w:szCs w:val="28"/>
        </w:rPr>
        <w:t xml:space="preserve">HCPS </w:t>
      </w:r>
      <w:r w:rsidR="00236741" w:rsidRPr="00E53340">
        <w:rPr>
          <w:rFonts w:ascii="Times New Roman" w:eastAsia="Georgia" w:hAnsi="Times New Roman" w:cs="Times New Roman"/>
          <w:b/>
          <w:sz w:val="28"/>
          <w:szCs w:val="28"/>
        </w:rPr>
        <w:t>Annotation Rubric</w:t>
      </w:r>
    </w:p>
    <w:p w:rsidR="00695633" w:rsidRPr="00692213" w:rsidRDefault="00695633">
      <w:pPr>
        <w:jc w:val="center"/>
        <w:rPr>
          <w:rFonts w:ascii="Times New Roman" w:eastAsia="Georgia" w:hAnsi="Times New Roman" w:cs="Times New Roman"/>
          <w:b/>
          <w:sz w:val="20"/>
          <w:szCs w:val="20"/>
        </w:rPr>
      </w:pPr>
    </w:p>
    <w:tbl>
      <w:tblPr>
        <w:tblW w:w="1095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2182"/>
        <w:gridCol w:w="2222"/>
      </w:tblGrid>
      <w:tr w:rsidR="00CC7886" w:rsidRPr="00CC7886" w:rsidTr="005E082F">
        <w:trPr>
          <w:trHeight w:val="168"/>
        </w:trPr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2B2718FD" wp14:editId="15F679F4">
                  <wp:extent cx="752475" cy="809625"/>
                  <wp:effectExtent l="0" t="0" r="0" b="0"/>
                  <wp:docPr id="3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>Criteria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2BB14987" wp14:editId="4B5E893F">
                  <wp:extent cx="781050" cy="68580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>Advanced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04C4217D" wp14:editId="73456597">
                  <wp:extent cx="647700" cy="685800"/>
                  <wp:effectExtent l="0" t="0" r="0" b="0"/>
                  <wp:docPr id="4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>Proficient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48574000" wp14:editId="563F1A70">
                  <wp:extent cx="657225" cy="685800"/>
                  <wp:effectExtent l="0" t="0" r="0" b="0"/>
                  <wp:docPr id="5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>Improving</w:t>
            </w:r>
          </w:p>
        </w:tc>
        <w:tc>
          <w:tcPr>
            <w:tcW w:w="2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4DE61DBE" wp14:editId="100FE0D0">
                  <wp:extent cx="704850" cy="68580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  <w:p w:rsidR="00FC6985" w:rsidRPr="00CC7886" w:rsidRDefault="00236741" w:rsidP="00CC7886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>Warning/Failing</w:t>
            </w:r>
          </w:p>
        </w:tc>
      </w:tr>
      <w:tr w:rsidR="00CC7886" w:rsidRPr="00CC7886" w:rsidTr="005E082F">
        <w:trPr>
          <w:trHeight w:val="168"/>
        </w:trPr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Text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Text is marked throughout</w:t>
            </w:r>
            <w:r w:rsidR="00081CFB"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--Annotations cov</w:t>
            </w:r>
            <w:r w:rsidR="00347847"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er the entirety of the reading, are well dispersed, </w:t>
            </w:r>
            <w:r w:rsidR="00081CFB"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not taper </w:t>
            </w:r>
            <w:r w:rsidR="00347847"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midway and are abundant.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Text is marked throughout although it appears random at times</w:t>
            </w:r>
            <w:r w:rsidR="00081CFB"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-- Annotations are frequent but not as thorough. 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Test is not consistently marked throughout</w:t>
            </w:r>
            <w:r w:rsidR="00081CFB"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-- Annotations are fairly sparse or only cover the majority of the text, missing a larger section. </w:t>
            </w:r>
          </w:p>
        </w:tc>
        <w:tc>
          <w:tcPr>
            <w:tcW w:w="2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Text is minimally marked throughout</w:t>
            </w:r>
            <w:r w:rsidR="00081CFB"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-- Text is only annotated at the beginning or the end but not throughout. </w:t>
            </w:r>
          </w:p>
        </w:tc>
      </w:tr>
      <w:tr w:rsidR="00CC7886" w:rsidRPr="00CC7886" w:rsidTr="005E082F">
        <w:trPr>
          <w:trHeight w:val="168"/>
        </w:trPr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>Organization &amp;</w:t>
            </w:r>
          </w:p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>Clarity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Markings are easy-to-read and well-spaced; colors, symbols, and fonts help to organize and identify devices and ideas; color or symbol key provided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Most markings are easy-to-read and well-spaced; colors, symbols, or fonts help to organize and identify devices and ideas; color or symbol key provided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Some markings are easy-to-read and well-spaced; some colors, symbols, or fonts are used but there is no key</w:t>
            </w:r>
          </w:p>
        </w:tc>
        <w:tc>
          <w:tcPr>
            <w:tcW w:w="2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Markings are neither easy-to-read nor well-spaced; colors, symbols, and fonts are not used</w:t>
            </w:r>
          </w:p>
        </w:tc>
      </w:tr>
      <w:tr w:rsidR="00CC7886" w:rsidRPr="00CC7886" w:rsidTr="005E082F">
        <w:trPr>
          <w:trHeight w:val="168"/>
        </w:trPr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Passages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Words and phrases are marked and commentary / notations appear in the margins that indicate a response to the words/phrases marked.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Longer passages (entire sentences / entire paragraphs) ar</w:t>
            </w:r>
            <w:r w:rsidR="00E038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the primary element annotated; </w:t>
            </w:r>
            <w:r w:rsidR="00E038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some marginal notations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E038FF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Random passages appear to be marked; passages selected often have no real significance. </w:t>
            </w:r>
          </w:p>
        </w:tc>
        <w:tc>
          <w:tcPr>
            <w:tcW w:w="2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few passages are marked, but appear to be totally random and without significance</w:t>
            </w:r>
          </w:p>
        </w:tc>
      </w:tr>
      <w:tr w:rsidR="00CC7886" w:rsidRPr="00CC7886" w:rsidTr="005E082F">
        <w:trPr>
          <w:trHeight w:val="168"/>
        </w:trPr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>Knowledge &amp;               Understanding--</w:t>
            </w:r>
            <w:r w:rsidRPr="00CC78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Significance of commentary  </w:t>
            </w:r>
          </w:p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081CFB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Text has been thoroughly annotated with questions, observations, and connections to the text.  </w:t>
            </w:r>
            <w:r w:rsidR="005E082F"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 only are there notes but also comments about these notes that show depth of understanding and discussion of purpose and effect. </w:t>
            </w:r>
            <w:r w:rsidR="005E082F"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Demonstrates thinking beyond the surface level of the text; makes insightful connections within the text and to other texts and/or experiences</w:t>
            </w:r>
            <w:r w:rsidR="00347847"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The notes have an occasional insight on the overall purpose and effect of the elements. The reader seems to show a deeper understanding of reading. </w:t>
            </w: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Demonstrates reflective thinking and make</w:t>
            </w:r>
            <w:r w:rsidR="00E038FF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s</w:t>
            </w: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 xml:space="preserve"> accurate connections within the text</w:t>
            </w:r>
            <w:r w:rsidR="00347847"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The notes include mostly identification of elements with only a few insightful comments on the significance of the reading. </w:t>
            </w:r>
          </w:p>
        </w:tc>
        <w:tc>
          <w:tcPr>
            <w:tcW w:w="2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82F" w:rsidRPr="00CC7886" w:rsidRDefault="005E082F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Notes seem to only identify elements, and some of the notes seem purposeless. There is no commentary from the reader on purpose or effect. </w:t>
            </w: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Does not demonstrate careful thought and makes no relevant connections</w:t>
            </w:r>
            <w:r w:rsidR="00347847"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CC7886" w:rsidRPr="00CC7886" w:rsidTr="005E082F">
        <w:trPr>
          <w:trHeight w:val="168"/>
        </w:trPr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FB" w:rsidRPr="00CC7886" w:rsidRDefault="00081CFB" w:rsidP="00CC7886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Vocabulary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FB" w:rsidRPr="00CC7886" w:rsidRDefault="00081CFB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Accurately defines unfamiliar vocabulary; explains connotations of all key words</w:t>
            </w: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FB" w:rsidRPr="00CC7886" w:rsidRDefault="00081CFB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Defines unfamiliar vocabulary; explains connotations of most key words</w:t>
            </w: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FB" w:rsidRPr="00CC7886" w:rsidRDefault="00081CFB" w:rsidP="00A828FC">
            <w:pPr>
              <w:pStyle w:val="NoSpacing"/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Reader has identified </w:t>
            </w:r>
            <w:r w:rsidR="00A828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some</w:t>
            </w: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unfamiliar words but has not defined the words</w:t>
            </w:r>
            <w:r w:rsidR="00A05E9C"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 xml:space="preserve">.  </w:t>
            </w:r>
          </w:p>
        </w:tc>
        <w:tc>
          <w:tcPr>
            <w:tcW w:w="2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FB" w:rsidRPr="00CC7886" w:rsidRDefault="00081CFB" w:rsidP="00A828FC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Reader has identified </w:t>
            </w:r>
            <w:r w:rsidR="00A828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few</w:t>
            </w: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unfamiliar vocabulary, but has not provided definitions</w:t>
            </w: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C7886" w:rsidRPr="00CC7886" w:rsidTr="005E082F">
        <w:trPr>
          <w:trHeight w:val="168"/>
        </w:trPr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FB" w:rsidRPr="00CC7886" w:rsidRDefault="00081CFB" w:rsidP="00CC7886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t xml:space="preserve">Figurative Language,  Sound Devices &amp; </w:t>
            </w:r>
            <w:r w:rsidRPr="00CC7886">
              <w:rPr>
                <w:rFonts w:ascii="Times New Roman" w:eastAsia="Georgia" w:hAnsi="Times New Roman" w:cs="Times New Roman"/>
                <w:b/>
                <w:color w:val="auto"/>
                <w:sz w:val="20"/>
                <w:szCs w:val="20"/>
              </w:rPr>
              <w:lastRenderedPageBreak/>
              <w:t>Rhyme Scheme</w:t>
            </w:r>
          </w:p>
          <w:p w:rsidR="00081CFB" w:rsidRPr="00CC7886" w:rsidRDefault="00081CFB" w:rsidP="00CC7886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FB" w:rsidRPr="00CC7886" w:rsidRDefault="00081CFB" w:rsidP="00CC7886">
            <w:pPr>
              <w:pStyle w:val="NoSpacing"/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lastRenderedPageBreak/>
              <w:t xml:space="preserve">Accurately identifies all  figurative devices; </w:t>
            </w: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lastRenderedPageBreak/>
              <w:t xml:space="preserve">explains in detail the effect and meaning of these devices </w:t>
            </w:r>
          </w:p>
          <w:p w:rsidR="00081CFB" w:rsidRPr="00CC7886" w:rsidRDefault="00081CFB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Accurately identi</w:t>
            </w:r>
            <w:r w:rsidR="00DC4273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fies alliteration and assonance</w:t>
            </w: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; rhyme scheme is accurately  identified using letters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FB" w:rsidRPr="00CC7886" w:rsidRDefault="00081CFB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lastRenderedPageBreak/>
              <w:t xml:space="preserve">Accurately identifies </w:t>
            </w:r>
            <w:r w:rsidR="00A828FC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 xml:space="preserve">most </w:t>
            </w: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 xml:space="preserve">figurative devices; </w:t>
            </w: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lastRenderedPageBreak/>
              <w:t>explains the effect and meaning of these devices Accurately identifies most sound devices; rhyme scheme is accurately  identified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FB" w:rsidRPr="00CC7886" w:rsidRDefault="00081CFB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lastRenderedPageBreak/>
              <w:t xml:space="preserve">Some sound devices are correctly identified; </w:t>
            </w: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lastRenderedPageBreak/>
              <w:t>rhyme scheme is not accurately identified Some inaccuracies; incomplete explanations</w:t>
            </w:r>
          </w:p>
        </w:tc>
        <w:tc>
          <w:tcPr>
            <w:tcW w:w="2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FB" w:rsidRPr="00CC7886" w:rsidRDefault="00081CFB" w:rsidP="00CC7886">
            <w:pPr>
              <w:pStyle w:val="NoSpacing"/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lastRenderedPageBreak/>
              <w:t xml:space="preserve">Sound devices are not accurately identified; </w:t>
            </w: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lastRenderedPageBreak/>
              <w:t xml:space="preserve">rhyme scheme is not identified </w:t>
            </w:r>
          </w:p>
          <w:p w:rsidR="00081CFB" w:rsidRPr="00CC7886" w:rsidRDefault="00081CFB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eastAsia="Georgia" w:hAnsi="Times New Roman" w:cs="Times New Roman"/>
                <w:color w:val="auto"/>
                <w:sz w:val="20"/>
                <w:szCs w:val="20"/>
              </w:rPr>
              <w:t>Many inaccuracies; weak or missing explanations</w:t>
            </w:r>
          </w:p>
        </w:tc>
      </w:tr>
      <w:tr w:rsidR="00CC7886" w:rsidRPr="00CC7886" w:rsidTr="005E082F">
        <w:trPr>
          <w:trHeight w:val="168"/>
        </w:trPr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E9C" w:rsidRPr="00CC7886" w:rsidRDefault="00A05E9C" w:rsidP="00CC7886">
            <w:pPr>
              <w:pStyle w:val="NoSpacing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Literary Elements &amp; Style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E9C" w:rsidRPr="00CC7886" w:rsidRDefault="00A05E9C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Effectively discusses literary elements and how these contribute to meaning.  Evaluates the author’s style, draws inferences from figurative language 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E9C" w:rsidRPr="00CC7886" w:rsidRDefault="00A05E9C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Adequately discusses literary elements without fully creating effective connections to meaning.  Identifies several aspects of author’s style, analysis supported. 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E9C" w:rsidRPr="00CC7886" w:rsidRDefault="00A05E9C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Lists literary elements but limited discussion of meaning.  Identifies limited aspects of author’s style. </w:t>
            </w:r>
          </w:p>
        </w:tc>
        <w:tc>
          <w:tcPr>
            <w:tcW w:w="2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E9C" w:rsidRPr="00CC7886" w:rsidRDefault="00A05E9C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Little or no success in finding literary elements, little to no discussion of meaning.  Disregards author’s style as means to further meaning. </w:t>
            </w:r>
          </w:p>
        </w:tc>
      </w:tr>
      <w:tr w:rsidR="00CC7886" w:rsidRPr="00CC7886" w:rsidTr="005E082F">
        <w:trPr>
          <w:trHeight w:val="168"/>
        </w:trPr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E9C" w:rsidRPr="00CC7886" w:rsidRDefault="00A05E9C" w:rsidP="00CC7886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Interpretation</w:t>
            </w:r>
            <w:r w:rsidRPr="00CC78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/ Theme/ </w:t>
            </w:r>
            <w:r w:rsidR="00CC78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Big Picture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E9C" w:rsidRPr="00CC7886" w:rsidRDefault="00A05E9C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Annotations accurately identify purpose/themes of the work.  Annotations identify the main ideas and provide readers’ insights on the big picture.  Connects beyond the text in terms of a larger or universal significance, as aspect of sel</w:t>
            </w:r>
            <w:bookmarkStart w:id="0" w:name="_GoBack"/>
            <w:bookmarkEnd w:id="0"/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 or life in general. Effective interpretation and avoids clichés.  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E9C" w:rsidRPr="00CC7886" w:rsidRDefault="00A05E9C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Annotations may not accurately identify themes/purpose of text.  Annotations seem to understand the big picture but perhaps not clearly or with varied focus.</w:t>
            </w:r>
          </w:p>
        </w:tc>
        <w:tc>
          <w:tcPr>
            <w:tcW w:w="21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E9C" w:rsidRPr="00CC7886" w:rsidRDefault="00A05E9C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 attempt to identify theme/purpose of the text is visible, but not accurate.  Annotations seem shallow, only seeing the details without the whole. Too narrow a focus. Literal, unsupported, drawn-out plot summary.   Simple, superficial interpretation of the text.</w:t>
            </w:r>
          </w:p>
        </w:tc>
        <w:tc>
          <w:tcPr>
            <w:tcW w:w="2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E9C" w:rsidRPr="00CC7886" w:rsidRDefault="00A05E9C" w:rsidP="00CC7886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8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 attempt to identify theme/purpose of the text.  Annotations miss big picture overall, details identified but not analyzed as a whole. Little or no success in making meaning of the text.  Doesn’t reach obvious connections to the text.</w:t>
            </w:r>
          </w:p>
        </w:tc>
      </w:tr>
    </w:tbl>
    <w:p w:rsidR="004D7E34" w:rsidRDefault="004D7E34">
      <w:pPr>
        <w:rPr>
          <w:rFonts w:ascii="Times New Roman" w:hAnsi="Times New Roman" w:cs="Times New Roman"/>
          <w:sz w:val="20"/>
          <w:szCs w:val="20"/>
        </w:rPr>
      </w:pPr>
    </w:p>
    <w:p w:rsidR="00E158E0" w:rsidRDefault="00E1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 _____/32</w:t>
      </w:r>
    </w:p>
    <w:p w:rsidR="00E158E0" w:rsidRPr="00E158E0" w:rsidRDefault="00E15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 is passing)</w:t>
      </w:r>
    </w:p>
    <w:sectPr w:rsidR="00E158E0" w:rsidRPr="00E158E0" w:rsidSect="004D7E3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03" w:rsidRDefault="00734603" w:rsidP="004D7E34">
      <w:pPr>
        <w:spacing w:line="240" w:lineRule="auto"/>
      </w:pPr>
      <w:r>
        <w:separator/>
      </w:r>
    </w:p>
  </w:endnote>
  <w:endnote w:type="continuationSeparator" w:id="0">
    <w:p w:rsidR="00734603" w:rsidRDefault="00734603" w:rsidP="004D7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03" w:rsidRDefault="00734603" w:rsidP="004D7E34">
      <w:pPr>
        <w:spacing w:line="240" w:lineRule="auto"/>
      </w:pPr>
      <w:r>
        <w:separator/>
      </w:r>
    </w:p>
  </w:footnote>
  <w:footnote w:type="continuationSeparator" w:id="0">
    <w:p w:rsidR="00734603" w:rsidRDefault="00734603" w:rsidP="004D7E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932"/>
    <w:multiLevelType w:val="hybridMultilevel"/>
    <w:tmpl w:val="FDE02D12"/>
    <w:lvl w:ilvl="0" w:tplc="09DCBB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7FDD"/>
    <w:multiLevelType w:val="hybridMultilevel"/>
    <w:tmpl w:val="7B5012D6"/>
    <w:lvl w:ilvl="0" w:tplc="09DCBB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B0A68"/>
    <w:multiLevelType w:val="hybridMultilevel"/>
    <w:tmpl w:val="E7624FA2"/>
    <w:lvl w:ilvl="0" w:tplc="09DCBB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11EDD"/>
    <w:multiLevelType w:val="hybridMultilevel"/>
    <w:tmpl w:val="9D02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6985"/>
    <w:rsid w:val="00011645"/>
    <w:rsid w:val="00081CFB"/>
    <w:rsid w:val="002068FB"/>
    <w:rsid w:val="00236741"/>
    <w:rsid w:val="00347847"/>
    <w:rsid w:val="00482910"/>
    <w:rsid w:val="004D7E34"/>
    <w:rsid w:val="005E082F"/>
    <w:rsid w:val="00692213"/>
    <w:rsid w:val="00695633"/>
    <w:rsid w:val="00734603"/>
    <w:rsid w:val="007D3A1D"/>
    <w:rsid w:val="00A05E9C"/>
    <w:rsid w:val="00A828FC"/>
    <w:rsid w:val="00CC7886"/>
    <w:rsid w:val="00DC4273"/>
    <w:rsid w:val="00E038FF"/>
    <w:rsid w:val="00E10EF4"/>
    <w:rsid w:val="00E158E0"/>
    <w:rsid w:val="00E53340"/>
    <w:rsid w:val="00E91EF9"/>
    <w:rsid w:val="00F73AA7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41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E34"/>
    <w:pPr>
      <w:spacing w:after="200"/>
      <w:ind w:left="720"/>
      <w:contextualSpacing/>
    </w:pPr>
    <w:rPr>
      <w:rFonts w:ascii="Calibri" w:eastAsia="Calibri" w:hAnsi="Calibri" w:cs="Times New Roman"/>
      <w:color w:val="auto"/>
    </w:rPr>
  </w:style>
  <w:style w:type="table" w:styleId="TableGrid">
    <w:name w:val="Table Grid"/>
    <w:basedOn w:val="TableNormal"/>
    <w:uiPriority w:val="59"/>
    <w:rsid w:val="0069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2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2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13"/>
    <w:rPr>
      <w:rFonts w:ascii="Arial" w:eastAsia="Arial" w:hAnsi="Arial" w:cs="Arial"/>
      <w:color w:val="000000"/>
    </w:rPr>
  </w:style>
  <w:style w:type="paragraph" w:styleId="NoSpacing">
    <w:name w:val="No Spacing"/>
    <w:uiPriority w:val="1"/>
    <w:qFormat/>
    <w:rsid w:val="00CC7886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41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E34"/>
    <w:pPr>
      <w:spacing w:after="200"/>
      <w:ind w:left="720"/>
      <w:contextualSpacing/>
    </w:pPr>
    <w:rPr>
      <w:rFonts w:ascii="Calibri" w:eastAsia="Calibri" w:hAnsi="Calibri" w:cs="Times New Roman"/>
      <w:color w:val="auto"/>
    </w:rPr>
  </w:style>
  <w:style w:type="table" w:styleId="TableGrid">
    <w:name w:val="Table Grid"/>
    <w:basedOn w:val="TableNormal"/>
    <w:uiPriority w:val="59"/>
    <w:rsid w:val="0069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22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2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13"/>
    <w:rPr>
      <w:rFonts w:ascii="Arial" w:eastAsia="Arial" w:hAnsi="Arial" w:cs="Arial"/>
      <w:color w:val="000000"/>
    </w:rPr>
  </w:style>
  <w:style w:type="paragraph" w:styleId="NoSpacing">
    <w:name w:val="No Spacing"/>
    <w:uiPriority w:val="1"/>
    <w:qFormat/>
    <w:rsid w:val="00CC7886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Annotation Rubric.docx</vt:lpstr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 Rubric.docx</dc:title>
  <dc:creator>Erica L. Basnight Johnson (elbjohnson)</dc:creator>
  <cp:lastModifiedBy>Windows User</cp:lastModifiedBy>
  <cp:revision>13</cp:revision>
  <cp:lastPrinted>2013-06-24T11:10:00Z</cp:lastPrinted>
  <dcterms:created xsi:type="dcterms:W3CDTF">2013-06-20T19:42:00Z</dcterms:created>
  <dcterms:modified xsi:type="dcterms:W3CDTF">2013-07-01T15:38:00Z</dcterms:modified>
</cp:coreProperties>
</file>